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b/>
          <w:bCs/>
          <w:color w:val="333333"/>
          <w:sz w:val="39"/>
          <w:szCs w:val="39"/>
        </w:rPr>
      </w:pPr>
      <w:r>
        <w:rPr>
          <w:b/>
          <w:bCs/>
          <w:i w:val="0"/>
          <w:caps w:val="0"/>
          <w:color w:val="333333"/>
          <w:spacing w:val="0"/>
          <w:sz w:val="39"/>
          <w:szCs w:val="39"/>
          <w:bdr w:val="none" w:color="auto" w:sz="0" w:space="0"/>
          <w:shd w:val="clear" w:fill="FFFFFF"/>
        </w:rPr>
        <w:t>2021年入学清华大学经济管理学院工商管理硕士(MBA)项目招生简章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中华人民共和国公民且学历必须符合下列条件之一，否则我们将不能接受您的各项申请：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获得教育部承认的大学本科毕业学历后，到入学时有三年或三年</w:t>
      </w:r>
      <w:bookmarkStart w:id="0" w:name="_GoBack"/>
      <w:bookmarkEnd w:id="0"/>
      <w:r>
        <w:rPr>
          <w:rFonts w:hint="eastAsia" w:ascii="微软雅黑" w:hAnsi="微软雅黑" w:eastAsia="微软雅黑" w:cs="微软雅黑"/>
          <w:i w:val="0"/>
          <w:caps w:val="0"/>
          <w:color w:val="5A5A5A"/>
          <w:spacing w:val="0"/>
          <w:sz w:val="21"/>
          <w:szCs w:val="21"/>
          <w:bdr w:val="none" w:color="auto" w:sz="0" w:space="0"/>
          <w:shd w:val="clear" w:fill="FFFFFF"/>
        </w:rPr>
        <w:t>以上全职工作经历者（最迟于2018年9月1日前获得本科毕业证书)。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已获硕士、博士学位，到入学时有两年或两年以上全职工作经历者（最迟于2019年9月1日前获得学位证书)。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注： 考生持境外获得的学历（学位）证书报考，须通过（中国）教育部留学服务中心认证。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Style w:val="6"/>
          <w:rFonts w:hint="eastAsia" w:ascii="微软雅黑" w:hAnsi="微软雅黑" w:eastAsia="微软雅黑" w:cs="微软雅黑"/>
          <w:i w:val="0"/>
          <w:caps w:val="0"/>
          <w:color w:val="5A5A5A"/>
          <w:spacing w:val="0"/>
          <w:sz w:val="21"/>
          <w:szCs w:val="21"/>
          <w:bdr w:val="none" w:color="auto" w:sz="0" w:space="0"/>
          <w:shd w:val="clear" w:fill="FFFFFF"/>
        </w:rPr>
        <w:t>项目设置</w:t>
      </w:r>
    </w:p>
    <w:tbl>
      <w:tblPr>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1801"/>
        <w:gridCol w:w="3997"/>
        <w:gridCol w:w="27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450" w:hRule="atLeast"/>
        </w:trPr>
        <w:tc>
          <w:tcPr>
            <w:tcW w:w="1801" w:type="dxa"/>
            <w:tcBorders>
              <w:top w:val="single" w:color="auto" w:sz="6" w:space="0"/>
              <w:left w:val="single" w:color="auto" w:sz="6" w:space="0"/>
              <w:bottom w:val="single" w:color="auto" w:sz="6" w:space="0"/>
              <w:right w:val="single" w:color="auto" w:sz="6" w:space="0"/>
            </w:tcBorders>
            <w:shd w:val="clear" w:color="auto" w:fill="2F5496"/>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Style w:val="6"/>
                <w:rFonts w:hint="eastAsia" w:ascii="微软雅黑" w:hAnsi="微软雅黑" w:eastAsia="微软雅黑" w:cs="微软雅黑"/>
                <w:color w:val="FFFFFF"/>
                <w:sz w:val="18"/>
                <w:szCs w:val="18"/>
                <w:bdr w:val="none" w:color="auto" w:sz="0" w:space="0"/>
              </w:rPr>
              <w:t>项目</w:t>
            </w:r>
            <w:r>
              <w:rPr>
                <w:bdr w:val="none" w:color="auto" w:sz="0" w:space="0"/>
              </w:rPr>
              <w:t>                </w:t>
            </w:r>
          </w:p>
        </w:tc>
        <w:tc>
          <w:tcPr>
            <w:tcW w:w="3997" w:type="dxa"/>
            <w:tcBorders>
              <w:top w:val="single" w:color="auto" w:sz="6" w:space="0"/>
              <w:left w:val="nil"/>
              <w:bottom w:val="single" w:color="auto" w:sz="6" w:space="0"/>
              <w:right w:val="single" w:color="auto" w:sz="6" w:space="0"/>
            </w:tcBorders>
            <w:shd w:val="clear" w:color="auto" w:fill="2F5496"/>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Style w:val="6"/>
                <w:rFonts w:hint="eastAsia" w:ascii="微软雅黑" w:hAnsi="微软雅黑" w:eastAsia="微软雅黑" w:cs="微软雅黑"/>
                <w:color w:val="FFFFFF"/>
                <w:sz w:val="18"/>
                <w:szCs w:val="18"/>
                <w:bdr w:val="none" w:color="auto" w:sz="0" w:space="0"/>
              </w:rPr>
              <w:t>清华MBA项目（非全日制）</w:t>
            </w:r>
            <w:r>
              <w:rPr>
                <w:bdr w:val="none" w:color="auto" w:sz="0" w:space="0"/>
              </w:rPr>
              <w:t>                </w:t>
            </w:r>
          </w:p>
        </w:tc>
        <w:tc>
          <w:tcPr>
            <w:tcW w:w="2718" w:type="dxa"/>
            <w:tcBorders>
              <w:top w:val="single" w:color="auto" w:sz="6" w:space="0"/>
              <w:left w:val="nil"/>
              <w:bottom w:val="single" w:color="auto" w:sz="6" w:space="0"/>
              <w:right w:val="single" w:color="auto" w:sz="6" w:space="0"/>
            </w:tcBorders>
            <w:shd w:val="clear" w:color="auto" w:fill="2F5496"/>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Style w:val="6"/>
                <w:rFonts w:hint="eastAsia" w:ascii="微软雅黑" w:hAnsi="微软雅黑" w:eastAsia="微软雅黑" w:cs="微软雅黑"/>
                <w:color w:val="FFFFFF"/>
                <w:sz w:val="18"/>
                <w:szCs w:val="18"/>
                <w:bdr w:val="none" w:color="auto" w:sz="0" w:space="0"/>
              </w:rPr>
              <w:t>清华全球MBA项目（全日制）</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1621" w:hRule="atLeast"/>
        </w:trPr>
        <w:tc>
          <w:tcPr>
            <w:tcW w:w="1801"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特点</w:t>
            </w:r>
            <w:r>
              <w:rPr>
                <w:bdr w:val="none" w:color="auto" w:sz="0" w:space="0"/>
              </w:rPr>
              <w:t>                </w:t>
            </w:r>
          </w:p>
        </w:tc>
        <w:tc>
          <w:tcPr>
            <w:tcW w:w="3997"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清华MBA项目提供丰富的专业自选课程、融合了各行各业的管理精英，适合各种职能的中高级管理骨干向高层综合管理者发展，也适合创业者拓展事业。其中，周末上课班能够平衡管理骨干的工作和学习时间；集中上课班更适合高级管理者、京外学生的学习需求。</w:t>
            </w:r>
            <w:r>
              <w:rPr>
                <w:bdr w:val="none" w:color="auto" w:sz="0" w:space="0"/>
              </w:rPr>
              <w:t>                </w:t>
            </w:r>
          </w:p>
        </w:tc>
        <w:tc>
          <w:tcPr>
            <w:tcW w:w="271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清华全球MBA项目是由清华经管学院和MIT斯隆管理学院合办的、兼具清华品格与MIT元素、培养全球精英的MBA项目。适合希望集中完成学业、进行事业转换和国际化发展的管理精英。</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450" w:hRule="atLeast"/>
        </w:trPr>
        <w:tc>
          <w:tcPr>
            <w:tcW w:w="1801"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学制和学习方式</w:t>
            </w:r>
            <w:r>
              <w:rPr>
                <w:rFonts w:hint="eastAsia" w:ascii="微软雅黑" w:hAnsi="微软雅黑" w:eastAsia="微软雅黑" w:cs="微软雅黑"/>
                <w:sz w:val="24"/>
                <w:szCs w:val="24"/>
                <w:bdr w:val="none" w:color="auto" w:sz="0" w:space="0"/>
              </w:rPr>
              <w:br w:type="textWrapping"/>
            </w:r>
            <w:r>
              <w:rPr>
                <w:rFonts w:hint="eastAsia" w:ascii="微软雅黑" w:hAnsi="微软雅黑" w:eastAsia="微软雅黑" w:cs="微软雅黑"/>
                <w:sz w:val="24"/>
                <w:szCs w:val="24"/>
                <w:bdr w:val="none" w:color="auto" w:sz="0" w:space="0"/>
              </w:rPr>
              <w:t>   </w:t>
            </w:r>
            <w:r>
              <w:rPr>
                <w:bdr w:val="none" w:color="auto" w:sz="0" w:space="0"/>
              </w:rPr>
              <w:t>                </w:t>
            </w:r>
          </w:p>
        </w:tc>
        <w:tc>
          <w:tcPr>
            <w:tcW w:w="3997"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清华MBA项目采用灵活学制。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一般学生标准的学习进程为：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① 6个月入学前学习（少量业余时间到校）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② 24个月学校课程（业余时间到校）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③ 6个月毕业报告（可在工作岗位完成）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学校课程学习阶段上课时间：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周末班：每周周末一天+周末或平时的一晚来校学习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集中班：每两周集中上课一次，每次周五晚上、周六、日全天 。</w:t>
            </w:r>
            <w:r>
              <w:rPr>
                <w:bdr w:val="none" w:color="auto" w:sz="0" w:space="0"/>
              </w:rPr>
              <w:t>                </w:t>
            </w:r>
          </w:p>
        </w:tc>
        <w:tc>
          <w:tcPr>
            <w:tcW w:w="271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① 12个月必修课学习：第一年必修课阶段为整班全日制学习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② 6个月选修课学习：可根据自己需要选择平时、晚上或周末的选修课程学习，可到海外进行一个学期的交换学习，或者到海外进行为期一年的海外双学位学习。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③ 6个月毕业报告：可校外工作岗位完成。 </w:t>
            </w:r>
            <w:r>
              <w:rPr>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有寒暑假供进行实习工作，非定向学习方式且档案迁入的考生可申请学校宿舍 。</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1801"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语言</w:t>
            </w:r>
            <w:r>
              <w:rPr>
                <w:bdr w:val="none" w:color="auto" w:sz="0" w:space="0"/>
              </w:rPr>
              <w:t>                </w:t>
            </w:r>
          </w:p>
        </w:tc>
        <w:tc>
          <w:tcPr>
            <w:tcW w:w="3997"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中文课程为主、可选英文选修课</w:t>
            </w:r>
            <w:r>
              <w:rPr>
                <w:bdr w:val="none" w:color="auto" w:sz="0" w:space="0"/>
              </w:rPr>
              <w:t>                </w:t>
            </w:r>
          </w:p>
        </w:tc>
        <w:tc>
          <w:tcPr>
            <w:tcW w:w="271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全英文课程，可选中文选修课</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1801"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计划招生人数</w:t>
            </w:r>
            <w:r>
              <w:rPr>
                <w:bdr w:val="none" w:color="auto" w:sz="0" w:space="0"/>
              </w:rPr>
              <w:t>                </w:t>
            </w:r>
          </w:p>
        </w:tc>
        <w:tc>
          <w:tcPr>
            <w:tcW w:w="3997"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310人</w:t>
            </w:r>
            <w:r>
              <w:rPr>
                <w:bdr w:val="none" w:color="auto" w:sz="0" w:space="0"/>
              </w:rPr>
              <w:t>                </w:t>
            </w:r>
          </w:p>
        </w:tc>
        <w:tc>
          <w:tcPr>
            <w:tcW w:w="271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80人（含留学生）</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1801"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学费</w:t>
            </w:r>
            <w:r>
              <w:rPr>
                <w:bdr w:val="none" w:color="auto" w:sz="0" w:space="0"/>
              </w:rPr>
              <w:t>                </w:t>
            </w:r>
          </w:p>
        </w:tc>
        <w:tc>
          <w:tcPr>
            <w:tcW w:w="3997"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36.8</w:t>
            </w:r>
            <w:r>
              <w:rPr>
                <w:sz w:val="18"/>
                <w:szCs w:val="18"/>
                <w:bdr w:val="none" w:color="auto" w:sz="0" w:space="0"/>
              </w:rPr>
              <w:t> 万元</w:t>
            </w:r>
            <w:r>
              <w:rPr>
                <w:bdr w:val="none" w:color="auto" w:sz="0" w:space="0"/>
              </w:rPr>
              <w:t>              </w:t>
            </w:r>
          </w:p>
        </w:tc>
        <w:tc>
          <w:tcPr>
            <w:tcW w:w="271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19.8 万元</w:t>
            </w:r>
            <w:r>
              <w:rPr>
                <w:sz w:val="18"/>
                <w:szCs w:val="18"/>
                <w:bdr w:val="none" w:color="auto" w:sz="0" w:space="0"/>
              </w:rPr>
              <w:t> </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450" w:hRule="atLeast"/>
        </w:trPr>
        <w:tc>
          <w:tcPr>
            <w:tcW w:w="1801"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证书</w:t>
            </w:r>
            <w:r>
              <w:rPr>
                <w:bdr w:val="none" w:color="auto" w:sz="0" w:space="0"/>
              </w:rPr>
              <w:t>                </w:t>
            </w:r>
          </w:p>
        </w:tc>
        <w:tc>
          <w:tcPr>
            <w:tcW w:w="3997"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清华大学研究生学历证书和工商管理硕士学位证书</w:t>
            </w:r>
            <w:r>
              <w:rPr>
                <w:bdr w:val="none" w:color="auto" w:sz="0" w:space="0"/>
              </w:rPr>
              <w:t>                </w:t>
            </w:r>
          </w:p>
        </w:tc>
        <w:tc>
          <w:tcPr>
            <w:tcW w:w="271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sz w:val="18"/>
                <w:szCs w:val="18"/>
                <w:bdr w:val="none" w:color="auto" w:sz="0" w:space="0"/>
              </w:rPr>
              <w:t>清华大学研究生学历证书和工商管理硕士学位证书、MIT斯隆管理学院课程学习证书 </w:t>
            </w:r>
            <w:r>
              <w:rPr>
                <w:bdr w:val="none" w:color="auto" w:sz="0" w:space="0"/>
              </w:rPr>
              <w:t>                </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Style w:val="6"/>
          <w:rFonts w:hint="eastAsia" w:ascii="微软雅黑" w:hAnsi="微软雅黑" w:eastAsia="微软雅黑" w:cs="微软雅黑"/>
          <w:i w:val="0"/>
          <w:caps w:val="0"/>
          <w:color w:val="5A5A5A"/>
          <w:spacing w:val="0"/>
          <w:sz w:val="21"/>
          <w:szCs w:val="21"/>
          <w:bdr w:val="none" w:color="auto" w:sz="0" w:space="0"/>
          <w:shd w:val="clear" w:fill="FFFFFF"/>
        </w:rPr>
        <w:t>新生奖学金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清华经管学院面向申请2021级清华MBA新生设置总额610万元人民币的新生奖学金，用于奖励和资助2021年入学的新生。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2021年新生奖学金仅面向2020年申请清华MBA各项目、通过各批次面试获得2021年入学条件录取资格的考生。新生奖学金资格仅在考生通过2021年MBA联考正式入学时有效，当年没有正式入学的考生将失去获奖资格。各新生奖学金和在校生奖学金的奖项和额度可能有变化，以发放时政策为准。</w:t>
      </w:r>
    </w:p>
    <w:tbl>
      <w:tblPr>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3495"/>
        <w:gridCol w:w="5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c>
          <w:tcPr>
            <w:tcW w:w="3495" w:type="dxa"/>
            <w:tcBorders>
              <w:top w:val="single" w:color="auto" w:sz="6" w:space="0"/>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奖项</w:t>
            </w:r>
          </w:p>
        </w:tc>
        <w:tc>
          <w:tcPr>
            <w:tcW w:w="5021" w:type="dxa"/>
            <w:tcBorders>
              <w:top w:val="single" w:color="auto" w:sz="6" w:space="0"/>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c>
          <w:tcPr>
            <w:tcW w:w="3495"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联考奖学金</w:t>
            </w:r>
          </w:p>
        </w:tc>
        <w:tc>
          <w:tcPr>
            <w:tcW w:w="5021"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奖励联考成绩前5名的优秀考生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c>
          <w:tcPr>
            <w:tcW w:w="3495"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卓越贡献奖学金</w:t>
            </w:r>
          </w:p>
        </w:tc>
        <w:tc>
          <w:tcPr>
            <w:tcW w:w="5021"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奖励获得预录取资格后为清华MBA品牌推广和项目发展做出贡献的学生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c>
          <w:tcPr>
            <w:tcW w:w="3495"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MIT 双学位、哥伦比亚大学双学位和HEC 双学位奖学金</w:t>
            </w:r>
          </w:p>
        </w:tc>
        <w:tc>
          <w:tcPr>
            <w:tcW w:w="5021"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奖励清华全球MBA项目获得MIT、哥伦比亚大学双学位或HEC 双学位录取的优秀学生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495"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院长奖学金</w:t>
            </w:r>
          </w:p>
        </w:tc>
        <w:tc>
          <w:tcPr>
            <w:tcW w:w="5021"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奖励清华全球MBA项目优秀考生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c>
          <w:tcPr>
            <w:tcW w:w="3495"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卓越奖学金</w:t>
            </w:r>
          </w:p>
        </w:tc>
        <w:tc>
          <w:tcPr>
            <w:tcW w:w="5021"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奖励清华全球MBA项目优秀考生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c>
          <w:tcPr>
            <w:tcW w:w="3495"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优秀奖学金</w:t>
            </w:r>
          </w:p>
        </w:tc>
        <w:tc>
          <w:tcPr>
            <w:tcW w:w="5021"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奖励清华MBA项目优秀考生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495"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京外奖学金</w:t>
            </w:r>
          </w:p>
        </w:tc>
        <w:tc>
          <w:tcPr>
            <w:tcW w:w="5021"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支持需往返北京学习的清华MBA项目京外条件录取考生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495"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不忘初心奖</w:t>
            </w:r>
          </w:p>
        </w:tc>
        <w:tc>
          <w:tcPr>
            <w:tcW w:w="5021"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pPr>
            <w:r>
              <w:rPr>
                <w:rFonts w:hint="eastAsia" w:ascii="微软雅黑" w:hAnsi="微软雅黑" w:eastAsia="微软雅黑" w:cs="微软雅黑"/>
                <w:sz w:val="18"/>
                <w:szCs w:val="18"/>
                <w:bdr w:val="none" w:color="auto" w:sz="0" w:space="0"/>
              </w:rPr>
              <w:t>奖励履行使命担当，贡献社会的清华MBA项目条件录取考生：2021年将用于奖励就职于公立医院的清华MBA项目条件录取考生</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Style w:val="6"/>
          <w:rFonts w:hint="eastAsia" w:ascii="微软雅黑" w:hAnsi="微软雅黑" w:eastAsia="微软雅黑" w:cs="微软雅黑"/>
          <w:i w:val="0"/>
          <w:caps w:val="0"/>
          <w:color w:val="5A5A5A"/>
          <w:spacing w:val="0"/>
          <w:sz w:val="21"/>
          <w:szCs w:val="21"/>
          <w:bdr w:val="none" w:color="auto" w:sz="0" w:space="0"/>
          <w:shd w:val="clear" w:fill="FFFFFF"/>
        </w:rPr>
        <w:t>申请流程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一、申请和面试（2020年3月至11月）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①注册清华MBA报考服务系统。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MBA报考服务系统全年开放,网址为：http://mbaadmissions.sem.tsinghua.edu.cn。填写申请表时请注意查看系统内的申请指导和每页的填写说明。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②填写和上传申请材料。网上提交的申请材料包括：申请书、成绩单、个人简历、收入证明、单位组织结构图，推荐信（非必需）。申请材料的具体内容和要求见系统内说明。考生提交申请材料时需要选择申请面试批次，并在所选批次申请材料提交截止日期前提交。各批次的申请截止时间、面试资格公布时间和面试时间见下方"面试批次"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③申请材料评审。清华经管学院将组织材料评委评审考生申请材料，选出进入面试的考生。不同批次的面试人数视当批申请考生数量和质量决定。在某批面试名额有限时，考生也有可能在后续批次获得面试机会。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④查询面试资格和时间安排。可通过报考服务系统查询，面试资格公布时间见下方"面试批次"表。持有720分以上GMAT或328分以上GRE有效正式成绩的清华全球MBA项目考生可直接获得面试资格。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⑤参加面试。清华MBA项目面试内容为综合素质面试(中文)，清华全球MBA项目为综合素质面试（中文）+英文语言能力测试。考生在面试报到时进行报考资格查验。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⑥查询面试结果。面试结果将在面试后10个工作日内通过MBA报考服务系统进行公布。不同批次的条件录取资格人数视当批申请考生的数量和质量决定。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考生申请任意项目获得条件录取资格后不能随意更改录取项目。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考生不可以同时申请清华全球MBA项目(全日制)和清华MBA项目(非全日制)，但在申请一个项目没有成功的情况下可以申请另外一个项目。每个项目每年只有一次申请机会。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三、MBA联考报名和参加笔试（2020年10月至12月）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通过面试获得条件录取资格的考生都需要报名和参加全国管理类专业硕士联考（MBA联考）。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注：因为联考后不再组织面试，没有通过提前面试获得条件录取资格的考生请不要在联考报名时报考清华MBA各项目。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① MBA联考报名。全国MBA联考报名一般为10月10日至31日，报名具体时间和步骤以教育部和清华大学研究生院当年通知为准。中国研究生招生信息网网址：http://yz.chsi.com.cn ，清华大学研究生招生系统网址：http://yz.tsinghua.edu.cn。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②参加全国MBA联考。全国MBA联考考试科目为管理类综合能力和英语二，考试的内容和具体要求请参考由教育部指定的考试大纲。考试时间以教育部和清华大学研究生院通知为准。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③参加政治考试、英语听力测试。考生在参加MBA联考后还须参加清华经管学院组织的MBA入学政治考试和英语听力测试（清华全球MBA项目考生免试英语听力测试）。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四、预录取（2021年3月）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① MBA联考成绩一般于2月公布，国家线于3月公布。MBA联考成绩达到国家A线且通过政治考试和英语听力测试的条件录取资格考生可获得预录取资格。如果考生当年在清华参加了联考，但成绩未达到国家线，条件录取资格可以保留至第二年。未参加清华MBA联考的条件录取考生的资格不予保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② 通过面试获得条件录取递补资格的考生可以在条件录取资格考生放弃或者没有达到国家线的情况下按照联考成绩排序获得预录取资格。最终没能递补成功的考生可在第二年直接获得原项目的面试资格。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五、正式录取（2021年4月至7月）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预录取考生在档案审查和申请材料真实性审查通过后获得正式录取资格，与清华大学签署培养协议后，将于2021年7月份收到录取通知书。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六、入学（2021年8月底至9月初）</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2021级新生将于2021年4月开始在线课程学习和班级活动，8月底或9月初正式入学。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Style w:val="6"/>
          <w:rFonts w:hint="eastAsia" w:ascii="微软雅黑" w:hAnsi="微软雅黑" w:eastAsia="微软雅黑" w:cs="微软雅黑"/>
          <w:i w:val="0"/>
          <w:caps w:val="0"/>
          <w:color w:val="5A5A5A"/>
          <w:spacing w:val="0"/>
          <w:sz w:val="21"/>
          <w:szCs w:val="21"/>
          <w:bdr w:val="none" w:color="auto" w:sz="0" w:space="0"/>
          <w:shd w:val="clear" w:fill="FFFFFF"/>
        </w:rPr>
        <w:t>面试批次    </w:t>
      </w:r>
    </w:p>
    <w:tbl>
      <w:tblPr>
        <w:tblW w:w="80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1719"/>
        <w:gridCol w:w="2325"/>
        <w:gridCol w:w="2078"/>
        <w:gridCol w:w="18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450" w:hRule="atLeast"/>
        </w:trPr>
        <w:tc>
          <w:tcPr>
            <w:tcW w:w="1719" w:type="dxa"/>
            <w:tcBorders>
              <w:top w:val="single" w:color="auto" w:sz="6" w:space="0"/>
              <w:left w:val="single" w:color="auto" w:sz="6" w:space="0"/>
              <w:bottom w:val="single" w:color="auto" w:sz="6" w:space="0"/>
              <w:right w:val="single" w:color="auto" w:sz="6" w:space="0"/>
            </w:tcBorders>
            <w:shd w:val="clear" w:color="auto" w:fill="2F5496"/>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Style w:val="6"/>
                <w:rFonts w:hint="eastAsia" w:ascii="微软雅黑" w:hAnsi="微软雅黑" w:eastAsia="微软雅黑" w:cs="微软雅黑"/>
                <w:color w:val="FFFFFF"/>
                <w:sz w:val="18"/>
                <w:szCs w:val="18"/>
                <w:bdr w:val="none" w:color="auto" w:sz="0" w:space="0"/>
              </w:rPr>
              <w:t>面试批次</w:t>
            </w:r>
            <w:r>
              <w:rPr>
                <w:bdr w:val="none" w:color="auto" w:sz="0" w:space="0"/>
              </w:rPr>
              <w:t>                </w:t>
            </w:r>
          </w:p>
        </w:tc>
        <w:tc>
          <w:tcPr>
            <w:tcW w:w="2325" w:type="dxa"/>
            <w:tcBorders>
              <w:top w:val="single" w:color="auto" w:sz="6" w:space="0"/>
              <w:left w:val="nil"/>
              <w:bottom w:val="single" w:color="auto" w:sz="6" w:space="0"/>
              <w:right w:val="single" w:color="auto" w:sz="6" w:space="0"/>
            </w:tcBorders>
            <w:shd w:val="clear" w:color="auto" w:fill="2F5496"/>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Style w:val="6"/>
                <w:rFonts w:hint="eastAsia" w:ascii="微软雅黑" w:hAnsi="微软雅黑" w:eastAsia="微软雅黑" w:cs="微软雅黑"/>
                <w:color w:val="FFFFFF"/>
                <w:sz w:val="18"/>
                <w:szCs w:val="18"/>
                <w:bdr w:val="none" w:color="auto" w:sz="0" w:space="0"/>
              </w:rPr>
              <w:t>申请材料提交截止时间</w:t>
            </w:r>
            <w:r>
              <w:rPr>
                <w:bdr w:val="none" w:color="auto" w:sz="0" w:space="0"/>
              </w:rPr>
              <w:t>                </w:t>
            </w:r>
          </w:p>
        </w:tc>
        <w:tc>
          <w:tcPr>
            <w:tcW w:w="2078" w:type="dxa"/>
            <w:tcBorders>
              <w:top w:val="single" w:color="auto" w:sz="6" w:space="0"/>
              <w:left w:val="nil"/>
              <w:bottom w:val="single" w:color="auto" w:sz="6" w:space="0"/>
              <w:right w:val="single" w:color="auto" w:sz="6" w:space="0"/>
            </w:tcBorders>
            <w:shd w:val="clear" w:color="auto" w:fill="2F5496"/>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Style w:val="6"/>
                <w:rFonts w:hint="eastAsia" w:ascii="微软雅黑" w:hAnsi="微软雅黑" w:eastAsia="微软雅黑" w:cs="微软雅黑"/>
                <w:color w:val="FFFFFF"/>
                <w:sz w:val="18"/>
                <w:szCs w:val="18"/>
                <w:bdr w:val="none" w:color="auto" w:sz="0" w:space="0"/>
              </w:rPr>
              <w:t>面试资格公布时间</w:t>
            </w:r>
            <w:r>
              <w:rPr>
                <w:bdr w:val="none" w:color="auto" w:sz="0" w:space="0"/>
              </w:rPr>
              <w:t>                </w:t>
            </w:r>
          </w:p>
        </w:tc>
        <w:tc>
          <w:tcPr>
            <w:tcW w:w="1888" w:type="dxa"/>
            <w:tcBorders>
              <w:top w:val="single" w:color="auto" w:sz="6" w:space="0"/>
              <w:left w:val="nil"/>
              <w:bottom w:val="single" w:color="auto" w:sz="6" w:space="0"/>
              <w:right w:val="single" w:color="auto" w:sz="6" w:space="0"/>
            </w:tcBorders>
            <w:shd w:val="clear" w:color="auto" w:fill="2F5496"/>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Style w:val="6"/>
                <w:rFonts w:hint="eastAsia" w:ascii="微软雅黑" w:hAnsi="微软雅黑" w:eastAsia="微软雅黑" w:cs="微软雅黑"/>
                <w:color w:val="FFFFFF"/>
                <w:sz w:val="18"/>
                <w:szCs w:val="18"/>
                <w:bdr w:val="none" w:color="auto" w:sz="0" w:space="0"/>
              </w:rPr>
              <w:t>面试时间</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1719"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第一批</w:t>
            </w:r>
            <w:r>
              <w:rPr>
                <w:bdr w:val="none" w:color="auto" w:sz="0" w:space="0"/>
              </w:rPr>
              <w:t>                </w:t>
            </w:r>
          </w:p>
        </w:tc>
        <w:tc>
          <w:tcPr>
            <w:tcW w:w="2325"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6月1日 12:00</w:t>
            </w:r>
            <w:r>
              <w:rPr>
                <w:bdr w:val="none" w:color="auto" w:sz="0" w:space="0"/>
              </w:rPr>
              <w:t>                </w:t>
            </w:r>
          </w:p>
        </w:tc>
        <w:tc>
          <w:tcPr>
            <w:tcW w:w="207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6月15日</w:t>
            </w:r>
            <w:r>
              <w:rPr>
                <w:bdr w:val="none" w:color="auto" w:sz="0" w:space="0"/>
              </w:rPr>
              <w:t>                </w:t>
            </w:r>
          </w:p>
        </w:tc>
        <w:tc>
          <w:tcPr>
            <w:tcW w:w="188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6月20、21日</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1719"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第二批</w:t>
            </w:r>
            <w:r>
              <w:rPr>
                <w:bdr w:val="none" w:color="auto" w:sz="0" w:space="0"/>
              </w:rPr>
              <w:t>                </w:t>
            </w:r>
          </w:p>
        </w:tc>
        <w:tc>
          <w:tcPr>
            <w:tcW w:w="2325"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7月10日 12:00</w:t>
            </w:r>
            <w:r>
              <w:rPr>
                <w:bdr w:val="none" w:color="auto" w:sz="0" w:space="0"/>
              </w:rPr>
              <w:t>                </w:t>
            </w:r>
          </w:p>
        </w:tc>
        <w:tc>
          <w:tcPr>
            <w:tcW w:w="207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8月10日</w:t>
            </w:r>
            <w:r>
              <w:rPr>
                <w:bdr w:val="none" w:color="auto" w:sz="0" w:space="0"/>
              </w:rPr>
              <w:t>                </w:t>
            </w:r>
          </w:p>
        </w:tc>
        <w:tc>
          <w:tcPr>
            <w:tcW w:w="188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8月15、16日</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1719"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第三批</w:t>
            </w:r>
            <w:r>
              <w:rPr>
                <w:bdr w:val="none" w:color="auto" w:sz="0" w:space="0"/>
              </w:rPr>
              <w:t>                </w:t>
            </w:r>
          </w:p>
        </w:tc>
        <w:tc>
          <w:tcPr>
            <w:tcW w:w="2325"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8月31日 12:00</w:t>
            </w:r>
            <w:r>
              <w:rPr>
                <w:bdr w:val="none" w:color="auto" w:sz="0" w:space="0"/>
              </w:rPr>
              <w:t>                </w:t>
            </w:r>
          </w:p>
        </w:tc>
        <w:tc>
          <w:tcPr>
            <w:tcW w:w="207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9月14日</w:t>
            </w:r>
            <w:r>
              <w:rPr>
                <w:bdr w:val="none" w:color="auto" w:sz="0" w:space="0"/>
              </w:rPr>
              <w:t>                </w:t>
            </w:r>
          </w:p>
        </w:tc>
        <w:tc>
          <w:tcPr>
            <w:tcW w:w="188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9月19、20日</w:t>
            </w:r>
            <w:r>
              <w:rPr>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50" w:hRule="atLeast"/>
        </w:trPr>
        <w:tc>
          <w:tcPr>
            <w:tcW w:w="1719" w:type="dxa"/>
            <w:tcBorders>
              <w:top w:val="nil"/>
              <w:left w:val="single" w:color="auto" w:sz="6" w:space="0"/>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第四批</w:t>
            </w:r>
            <w:r>
              <w:rPr>
                <w:bdr w:val="none" w:color="auto" w:sz="0" w:space="0"/>
              </w:rPr>
              <w:t>                </w:t>
            </w:r>
          </w:p>
        </w:tc>
        <w:tc>
          <w:tcPr>
            <w:tcW w:w="2325"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10月19日 12:00</w:t>
            </w:r>
            <w:r>
              <w:rPr>
                <w:bdr w:val="none" w:color="auto" w:sz="0" w:space="0"/>
              </w:rPr>
              <w:t>                </w:t>
            </w:r>
          </w:p>
        </w:tc>
        <w:tc>
          <w:tcPr>
            <w:tcW w:w="207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10月30日</w:t>
            </w:r>
            <w:r>
              <w:rPr>
                <w:bdr w:val="none" w:color="auto" w:sz="0" w:space="0"/>
              </w:rPr>
              <w:t>                </w:t>
            </w:r>
          </w:p>
        </w:tc>
        <w:tc>
          <w:tcPr>
            <w:tcW w:w="1888" w:type="dxa"/>
            <w:tcBorders>
              <w:top w:val="nil"/>
              <w:left w:val="nil"/>
              <w:bottom w:val="single" w:color="auto" w:sz="6" w:space="0"/>
              <w:right w:val="single" w:color="auto" w:sz="6" w:space="0"/>
            </w:tcBorders>
            <w:shd w:val="clear"/>
            <w:tcMar>
              <w:left w:w="105" w:type="dxa"/>
              <w:right w:w="105" w:type="dxa"/>
            </w:tcMar>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center"/>
            </w:pPr>
            <w:r>
              <w:rPr>
                <w:rFonts w:hint="eastAsia" w:ascii="微软雅黑" w:hAnsi="微软雅黑" w:eastAsia="微软雅黑" w:cs="微软雅黑"/>
                <w:sz w:val="18"/>
                <w:szCs w:val="18"/>
                <w:bdr w:val="none" w:color="auto" w:sz="0" w:space="0"/>
              </w:rPr>
              <w:t>11月7、8日</w:t>
            </w:r>
            <w:r>
              <w:rPr>
                <w:bdr w:val="none" w:color="auto" w:sz="0" w:space="0"/>
              </w:rPr>
              <w:t>                </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注：申请第四批面试的考生如果获得面试资格必须在2020年10月31日联考报名截止前完成清华MBA联考报名（研究生入学考试的联考报名选择清华MBA），否则不能参加第四批面试（其他未获得面试资格、面试未通过或未申请清华MBA面试的考生，联考报名请勿选择清华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right"/>
      </w:pPr>
      <w:r>
        <w:rPr>
          <w:rFonts w:hint="eastAsia" w:ascii="微软雅黑" w:hAnsi="微软雅黑" w:eastAsia="微软雅黑" w:cs="微软雅黑"/>
          <w:i w:val="0"/>
          <w:caps w:val="0"/>
          <w:color w:val="5A5A5A"/>
          <w:spacing w:val="0"/>
          <w:sz w:val="21"/>
          <w:szCs w:val="21"/>
          <w:bdr w:val="none" w:color="auto" w:sz="0" w:space="0"/>
          <w:shd w:val="clear" w:fill="FFFFFF"/>
        </w:rPr>
        <w:t>本通知内容如有变化，以后续内容为准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Style w:val="6"/>
          <w:rFonts w:hint="eastAsia" w:ascii="微软雅黑" w:hAnsi="微软雅黑" w:eastAsia="微软雅黑" w:cs="微软雅黑"/>
          <w:i w:val="0"/>
          <w:caps w:val="0"/>
          <w:color w:val="5A5A5A"/>
          <w:spacing w:val="0"/>
          <w:sz w:val="21"/>
          <w:szCs w:val="21"/>
          <w:bdr w:val="none" w:color="auto" w:sz="0" w:space="0"/>
          <w:shd w:val="clear" w:fill="FFFFFF"/>
        </w:rPr>
        <w:t>声明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清华经管学院MBA教育中心进行清华MBA招生全流程工作，任何环节和过程都未与其他机构合作，也从未委托任何机构进行培训。请考生谨慎辨别其他单位或个人的宣传信息，不要轻信其承诺，避免各项损失，同时以免延误您的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Style w:val="6"/>
          <w:rFonts w:hint="eastAsia" w:ascii="微软雅黑" w:hAnsi="微软雅黑" w:eastAsia="微软雅黑" w:cs="微软雅黑"/>
          <w:i w:val="0"/>
          <w:caps w:val="0"/>
          <w:color w:val="5A5A5A"/>
          <w:spacing w:val="0"/>
          <w:sz w:val="21"/>
          <w:szCs w:val="21"/>
          <w:bdr w:val="none" w:color="auto" w:sz="0" w:space="0"/>
          <w:shd w:val="clear" w:fill="FFFFFF"/>
        </w:rPr>
        <w:t>考生诚信承诺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清华MBA重视考生诚信，希望您在申请过程中坦诚如实填写申请资料、完成面试。任何不诚信的行为，将直接导致申请失败，或取消已取得的成绩和资格，并将结果通报诚信合作院校联盟。清华MBA会维护诚信考生的利益，创造公平、诚信的MBA报考环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right"/>
      </w:pPr>
      <w:r>
        <w:rPr>
          <w:rFonts w:hint="eastAsia" w:ascii="微软雅黑" w:hAnsi="微软雅黑" w:eastAsia="微软雅黑" w:cs="微软雅黑"/>
          <w:i w:val="0"/>
          <w:caps w:val="0"/>
          <w:color w:val="5A5A5A"/>
          <w:spacing w:val="0"/>
          <w:sz w:val="21"/>
          <w:szCs w:val="21"/>
          <w:bdr w:val="none" w:color="auto" w:sz="0" w:space="0"/>
          <w:shd w:val="clear" w:fill="FFFFFF"/>
        </w:rPr>
        <w:t>进一步获取详尽信息，欢迎垂询：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right"/>
      </w:pPr>
      <w:r>
        <w:rPr>
          <w:rFonts w:hint="eastAsia" w:ascii="微软雅黑" w:hAnsi="微软雅黑" w:eastAsia="微软雅黑" w:cs="微软雅黑"/>
          <w:i w:val="0"/>
          <w:caps w:val="0"/>
          <w:color w:val="5A5A5A"/>
          <w:spacing w:val="0"/>
          <w:sz w:val="21"/>
          <w:szCs w:val="21"/>
          <w:bdr w:val="none" w:color="auto" w:sz="0" w:space="0"/>
          <w:shd w:val="clear" w:fill="FFFFFF"/>
        </w:rPr>
        <w:t>86-10-62781848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right"/>
      </w:pPr>
      <w:r>
        <w:rPr>
          <w:rFonts w:hint="eastAsia" w:ascii="微软雅黑" w:hAnsi="微软雅黑" w:eastAsia="微软雅黑" w:cs="微软雅黑"/>
          <w:i w:val="0"/>
          <w:caps w:val="0"/>
          <w:spacing w:val="0"/>
          <w:sz w:val="21"/>
          <w:szCs w:val="21"/>
          <w:u w:val="none"/>
          <w:bdr w:val="none" w:color="auto" w:sz="0" w:space="0"/>
          <w:shd w:val="clear" w:fill="FFFFFF"/>
        </w:rPr>
        <w:fldChar w:fldCharType="begin"/>
      </w:r>
      <w:r>
        <w:rPr>
          <w:rFonts w:hint="eastAsia" w:ascii="微软雅黑" w:hAnsi="微软雅黑" w:eastAsia="微软雅黑" w:cs="微软雅黑"/>
          <w:i w:val="0"/>
          <w:caps w:val="0"/>
          <w:spacing w:val="0"/>
          <w:sz w:val="21"/>
          <w:szCs w:val="21"/>
          <w:u w:val="none"/>
          <w:bdr w:val="none" w:color="auto" w:sz="0" w:space="0"/>
          <w:shd w:val="clear" w:fill="FFFFFF"/>
        </w:rPr>
        <w:instrText xml:space="preserve"> HYPERLINK "http://mba.sem.tsinghua.edu.cn/" </w:instrText>
      </w:r>
      <w:r>
        <w:rPr>
          <w:rFonts w:hint="eastAsia" w:ascii="微软雅黑" w:hAnsi="微软雅黑" w:eastAsia="微软雅黑" w:cs="微软雅黑"/>
          <w:i w:val="0"/>
          <w:caps w:val="0"/>
          <w:spacing w:val="0"/>
          <w:sz w:val="21"/>
          <w:szCs w:val="21"/>
          <w:u w:val="none"/>
          <w:bdr w:val="none" w:color="auto" w:sz="0" w:space="0"/>
          <w:shd w:val="clear" w:fill="FFFFFF"/>
        </w:rPr>
        <w:fldChar w:fldCharType="separate"/>
      </w:r>
      <w:r>
        <w:rPr>
          <w:rStyle w:val="7"/>
          <w:rFonts w:hint="eastAsia" w:ascii="微软雅黑" w:hAnsi="微软雅黑" w:eastAsia="微软雅黑" w:cs="微软雅黑"/>
          <w:i w:val="0"/>
          <w:caps w:val="0"/>
          <w:spacing w:val="0"/>
          <w:sz w:val="21"/>
          <w:szCs w:val="21"/>
          <w:u w:val="none"/>
          <w:bdr w:val="none" w:color="auto" w:sz="0" w:space="0"/>
          <w:shd w:val="clear" w:fill="FFFFFF"/>
        </w:rPr>
        <w:t>http://mba.sem.tsinghua.edu.cn</w:t>
      </w:r>
      <w:r>
        <w:rPr>
          <w:rFonts w:hint="eastAsia" w:ascii="微软雅黑" w:hAnsi="微软雅黑" w:eastAsia="微软雅黑" w:cs="微软雅黑"/>
          <w:i w:val="0"/>
          <w:caps w:val="0"/>
          <w:spacing w:val="0"/>
          <w:sz w:val="21"/>
          <w:szCs w:val="21"/>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r>
        <w:rPr>
          <w:rFonts w:hint="eastAsia" w:ascii="微软雅黑" w:hAnsi="微软雅黑" w:eastAsia="微软雅黑" w:cs="微软雅黑"/>
          <w:i w:val="0"/>
          <w:caps w:val="0"/>
          <w:color w:val="5A5A5A"/>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jc w:val="left"/>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7F5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2020-09-29T09:19:22Z</dcterms:created>
  <dc:creator>SUCCESS</dc:creator>
  <cp:lastModifiedBy>SUCCESS</cp:lastModifiedBy>
  <dcterms:modified xsi:type="dcterms:W3CDTF">2020-09-29T09:19:41Z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