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ascii="微软雅黑" w:hAnsi="微软雅黑" w:eastAsia="微软雅黑" w:cs="微软雅黑"/>
          <w:i w:val="0"/>
          <w:caps w:val="0"/>
          <w:color w:val="333333"/>
          <w:spacing w:val="0"/>
        </w:rPr>
      </w:pPr>
      <w:r>
        <w:rPr>
          <w:rFonts w:hint="eastAsia" w:ascii="微软雅黑" w:hAnsi="微软雅黑" w:eastAsia="微软雅黑" w:cs="微软雅黑"/>
          <w:i w:val="0"/>
          <w:caps w:val="0"/>
          <w:color w:val="B22222"/>
          <w:spacing w:val="0"/>
          <w:bdr w:val="none" w:color="auto" w:sz="0" w:space="0"/>
        </w:rPr>
        <w:t>复旦大学管理学院和BI挪威商学院联合举办的在职全英文MBA项目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B22222"/>
          <w:spacing w:val="0"/>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rPr>
      </w:pPr>
      <w:r>
        <w:rPr>
          <w:rFonts w:hint="eastAsia" w:ascii="微软雅黑" w:hAnsi="微软雅黑" w:eastAsia="微软雅黑" w:cs="微软雅黑"/>
          <w:i w:val="0"/>
          <w:caps w:val="0"/>
          <w:color w:val="B22222"/>
          <w:spacing w:val="0"/>
          <w:bdr w:val="none" w:color="auto" w:sz="0" w:space="0"/>
        </w:rPr>
        <w:t>项目简介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18"/>
          <w:szCs w:val="18"/>
          <w:bdr w:val="none" w:color="auto" w:sz="0" w:space="0"/>
        </w:rPr>
        <w:t>复旦大学-BI挪威商学院MBA项目于1996年经国务院学位办批准由复旦大学管理学院和BI挪威商学院联合举办， 旨在培养具备国际化竞争力的职业经理人。项目课程根据经理人由中层向高层发展阶段所需综合提升其管理能力及领导能力的需求而精准设计； 注重培养经理人战略思维能力，系统整合跨职能理论知识，综合提升团队领导能力。项目自主招生，不参加全国联考，每年招收两个班级，5月底、11月底开学。 全英文授课，以互动型案例教学为主，强调小组合作，注重学生的经验分享。2020年《金融时报》全球EMBA项目排名，位列第27位，毕业生薪酬增长率全球第二，在职MBA项目全球第二。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rPr>
      </w:pPr>
      <w:r>
        <w:rPr>
          <w:rFonts w:hint="eastAsia" w:ascii="微软雅黑" w:hAnsi="微软雅黑" w:eastAsia="微软雅黑" w:cs="微软雅黑"/>
          <w:i w:val="0"/>
          <w:caps w:val="0"/>
          <w:color w:val="333333"/>
          <w:spacing w:val="0"/>
          <w:bdr w:val="none" w:color="auto" w:sz="0" w:space="0"/>
        </w:rPr>
        <w:br w:type="textWrapping"/>
      </w:r>
      <w:r>
        <w:rPr>
          <w:rFonts w:hint="eastAsia" w:ascii="微软雅黑" w:hAnsi="微软雅黑" w:eastAsia="微软雅黑" w:cs="微软雅黑"/>
          <w:i w:val="0"/>
          <w:caps w:val="0"/>
          <w:color w:val="B22222"/>
          <w:spacing w:val="0"/>
          <w:bdr w:val="none" w:color="auto" w:sz="0" w:space="0"/>
        </w:rPr>
        <w:t>项目特点</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0" w:lineRule="atLeast"/>
        <w:ind w:left="0" w:right="0" w:hanging="360"/>
        <w:rPr>
          <w:sz w:val="21"/>
          <w:szCs w:val="21"/>
        </w:rPr>
      </w:pPr>
      <w:r>
        <w:rPr>
          <w:rFonts w:hint="eastAsia" w:ascii="微软雅黑" w:hAnsi="微软雅黑" w:eastAsia="微软雅黑" w:cs="微软雅黑"/>
          <w:i w:val="0"/>
          <w:caps w:val="0"/>
          <w:color w:val="333333"/>
          <w:spacing w:val="0"/>
          <w:sz w:val="18"/>
          <w:szCs w:val="18"/>
          <w:bdr w:val="none" w:color="auto" w:sz="0" w:space="0"/>
        </w:rPr>
        <w:t>全英文授课，国际化师资和学生群体，充分拓展学生的国际视野，并为学生提供深入、广泛国际交流的机会。</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0" w:lineRule="atLeast"/>
        <w:ind w:left="0" w:right="0" w:hanging="360"/>
        <w:rPr>
          <w:sz w:val="21"/>
          <w:szCs w:val="21"/>
        </w:rPr>
      </w:pPr>
      <w:r>
        <w:rPr>
          <w:rFonts w:hint="eastAsia" w:ascii="微软雅黑" w:hAnsi="微软雅黑" w:eastAsia="微软雅黑" w:cs="微软雅黑"/>
          <w:i w:val="0"/>
          <w:caps w:val="0"/>
          <w:color w:val="333333"/>
          <w:spacing w:val="0"/>
          <w:sz w:val="18"/>
          <w:szCs w:val="18"/>
          <w:bdr w:val="none" w:color="auto" w:sz="0" w:space="0"/>
        </w:rPr>
        <w:t>以互动型案例教学为主，强调团队合作，注重实践及学生的相互经验分享，并充分将管理理论与跨国企业实践相结合，以丰富的理论构架来分析和解决实际问题。</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0" w:lineRule="atLeast"/>
        <w:ind w:left="0" w:right="0" w:hanging="360"/>
        <w:rPr>
          <w:sz w:val="21"/>
          <w:szCs w:val="21"/>
        </w:rPr>
      </w:pPr>
      <w:r>
        <w:rPr>
          <w:rFonts w:hint="eastAsia" w:ascii="微软雅黑" w:hAnsi="微软雅黑" w:eastAsia="微软雅黑" w:cs="微软雅黑"/>
          <w:i w:val="0"/>
          <w:caps w:val="0"/>
          <w:color w:val="333333"/>
          <w:spacing w:val="0"/>
          <w:sz w:val="18"/>
          <w:szCs w:val="18"/>
          <w:bdr w:val="none" w:color="auto" w:sz="0" w:space="0"/>
        </w:rPr>
        <w:t>78％以上的学生来自跨国企业或外向型企业，担任中层以上职位，人均12年以上职业经验。</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0" w:lineRule="atLeast"/>
        <w:ind w:left="0" w:right="0" w:hanging="360"/>
        <w:rPr>
          <w:sz w:val="21"/>
          <w:szCs w:val="21"/>
        </w:rPr>
      </w:pPr>
      <w:r>
        <w:rPr>
          <w:rFonts w:hint="eastAsia" w:ascii="微软雅黑" w:hAnsi="微软雅黑" w:eastAsia="微软雅黑" w:cs="微软雅黑"/>
          <w:i w:val="0"/>
          <w:caps w:val="0"/>
          <w:color w:val="333333"/>
          <w:spacing w:val="0"/>
          <w:sz w:val="18"/>
          <w:szCs w:val="18"/>
          <w:bdr w:val="none" w:color="auto" w:sz="0" w:space="0"/>
        </w:rPr>
        <w:t>项目开办24年，校友和在读学生人数已超过2700人。每年有超过50%的学生由校友推荐，反映出项目很高的学生满意度。</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0" w:lineRule="atLeast"/>
        <w:ind w:left="0" w:right="0" w:hanging="360"/>
        <w:rPr>
          <w:sz w:val="21"/>
          <w:szCs w:val="21"/>
        </w:rPr>
      </w:pPr>
      <w:r>
        <w:rPr>
          <w:rFonts w:hint="eastAsia" w:ascii="微软雅黑" w:hAnsi="微软雅黑" w:eastAsia="微软雅黑" w:cs="微软雅黑"/>
          <w:i w:val="0"/>
          <w:caps w:val="0"/>
          <w:color w:val="333333"/>
          <w:spacing w:val="0"/>
          <w:sz w:val="18"/>
          <w:szCs w:val="18"/>
          <w:bdr w:val="none" w:color="auto" w:sz="0" w:space="0"/>
        </w:rPr>
        <w:t>两年在职学习，便于学生平衡繁忙工作与学习时间。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rPr>
      </w:pPr>
      <w:r>
        <w:rPr>
          <w:rFonts w:hint="eastAsia" w:ascii="微软雅黑" w:hAnsi="微软雅黑" w:eastAsia="微软雅黑" w:cs="微软雅黑"/>
          <w:i w:val="0"/>
          <w:caps w:val="0"/>
          <w:color w:val="333333"/>
          <w:spacing w:val="0"/>
          <w:bdr w:val="none" w:color="auto" w:sz="0" w:space="0"/>
        </w:rPr>
        <w:br w:type="textWrapping"/>
      </w:r>
      <w:r>
        <w:rPr>
          <w:rStyle w:val="7"/>
          <w:rFonts w:hint="eastAsia" w:ascii="微软雅黑" w:hAnsi="微软雅黑" w:eastAsia="微软雅黑" w:cs="微软雅黑"/>
          <w:b/>
          <w:i w:val="0"/>
          <w:caps w:val="0"/>
          <w:color w:val="B22222"/>
          <w:spacing w:val="0"/>
          <w:bdr w:val="none" w:color="auto" w:sz="0" w:space="0"/>
        </w:rPr>
        <w:t>学制与学位</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微软雅黑" w:hAnsi="微软雅黑" w:eastAsia="微软雅黑" w:cs="微软雅黑"/>
          <w:i w:val="0"/>
          <w:caps w:val="0"/>
          <w:color w:val="333333"/>
          <w:spacing w:val="0"/>
          <w:sz w:val="18"/>
          <w:szCs w:val="18"/>
          <w:bdr w:val="none" w:color="auto" w:sz="0" w:space="0"/>
        </w:rPr>
        <w:t>两年，在职学习</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微软雅黑" w:hAnsi="微软雅黑" w:eastAsia="微软雅黑" w:cs="微软雅黑"/>
          <w:i w:val="0"/>
          <w:caps w:val="0"/>
          <w:color w:val="333333"/>
          <w:spacing w:val="0"/>
          <w:sz w:val="18"/>
          <w:szCs w:val="18"/>
          <w:bdr w:val="none" w:color="auto" w:sz="0" w:space="0"/>
        </w:rPr>
        <w:t>BI挪威商学院颁发工商管理硕士（MBA）学位证书（受国家教育部批准）；复旦大学管理学院颁发学习证明书。</w:t>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微软雅黑" w:hAnsi="微软雅黑" w:eastAsia="微软雅黑" w:cs="微软雅黑"/>
          <w:i w:val="0"/>
          <w:caps w:val="0"/>
          <w:color w:val="333333"/>
          <w:spacing w:val="0"/>
          <w:sz w:val="18"/>
          <w:szCs w:val="18"/>
          <w:bdr w:val="none" w:color="auto" w:sz="0" w:space="0"/>
        </w:rPr>
        <w:drawing>
          <wp:inline distT="0" distB="0" distL="114300" distR="114300">
            <wp:extent cx="5039995" cy="7131685"/>
            <wp:effectExtent l="0" t="0" r="8255" b="1206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5039995" cy="7131685"/>
                    </a:xfrm>
                    <a:prstGeom prst="rect">
                      <a:avLst/>
                    </a:prstGeom>
                    <a:noFill/>
                    <a:ln w="9525">
                      <a:noFill/>
                    </a:ln>
                  </pic:spPr>
                </pic:pic>
              </a:graphicData>
            </a:graphic>
          </wp:inline>
        </w:drawing>
      </w:r>
    </w:p>
    <w:p>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hanging="360"/>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18"/>
          <w:szCs w:val="18"/>
          <w:bdr w:val="none" w:color="auto" w:sz="0" w:space="0"/>
        </w:rPr>
        <w:t>中外合作办学颁发境外学历学位证书认证注册信息查询链接（自2008年入学就读的学生，即MBA11（含）起）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00467E"/>
          <w:spacing w:val="0"/>
          <w:sz w:val="18"/>
          <w:szCs w:val="18"/>
          <w:u w:val="none"/>
          <w:bdr w:val="none" w:color="auto" w:sz="0" w:space="0"/>
        </w:rPr>
        <w:fldChar w:fldCharType="begin"/>
      </w:r>
      <w:r>
        <w:rPr>
          <w:rFonts w:hint="eastAsia" w:ascii="微软雅黑" w:hAnsi="微软雅黑" w:eastAsia="微软雅黑" w:cs="微软雅黑"/>
          <w:i w:val="0"/>
          <w:caps w:val="0"/>
          <w:color w:val="00467E"/>
          <w:spacing w:val="0"/>
          <w:sz w:val="18"/>
          <w:szCs w:val="18"/>
          <w:u w:val="none"/>
          <w:bdr w:val="none" w:color="auto" w:sz="0" w:space="0"/>
        </w:rPr>
        <w:instrText xml:space="preserve"> HYPERLINK "http://www.crs.jsj.edu.cn/index.php/default/news/index/21" \t "https://www.fdsm.fudan.edu.cn/nwmba/_blank" </w:instrText>
      </w:r>
      <w:r>
        <w:rPr>
          <w:rFonts w:hint="eastAsia" w:ascii="微软雅黑" w:hAnsi="微软雅黑" w:eastAsia="微软雅黑" w:cs="微软雅黑"/>
          <w:i w:val="0"/>
          <w:caps w:val="0"/>
          <w:color w:val="00467E"/>
          <w:spacing w:val="0"/>
          <w:sz w:val="18"/>
          <w:szCs w:val="18"/>
          <w:u w:val="none"/>
          <w:bdr w:val="none" w:color="auto" w:sz="0" w:space="0"/>
        </w:rPr>
        <w:fldChar w:fldCharType="separate"/>
      </w:r>
      <w:r>
        <w:rPr>
          <w:rStyle w:val="8"/>
          <w:rFonts w:hint="eastAsia" w:ascii="微软雅黑" w:hAnsi="微软雅黑" w:eastAsia="微软雅黑" w:cs="微软雅黑"/>
          <w:i w:val="0"/>
          <w:caps w:val="0"/>
          <w:color w:val="00467E"/>
          <w:spacing w:val="0"/>
          <w:sz w:val="18"/>
          <w:szCs w:val="18"/>
          <w:u w:val="none"/>
          <w:bdr w:val="none" w:color="auto" w:sz="0" w:space="0"/>
        </w:rPr>
        <w:t>http://www.crs.jsj.edu.cn/index.php/default/news/index/21</w:t>
      </w:r>
      <w:r>
        <w:rPr>
          <w:rFonts w:hint="eastAsia" w:ascii="微软雅黑" w:hAnsi="微软雅黑" w:eastAsia="微软雅黑" w:cs="微软雅黑"/>
          <w:i w:val="0"/>
          <w:caps w:val="0"/>
          <w:color w:val="00467E"/>
          <w:spacing w:val="0"/>
          <w:sz w:val="18"/>
          <w:szCs w:val="18"/>
          <w:u w:val="none"/>
          <w:bdr w:val="none" w:color="auto" w:sz="0" w:space="0"/>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18"/>
          <w:szCs w:val="18"/>
          <w:bdr w:val="none" w:color="auto" w:sz="0" w:space="0"/>
        </w:rPr>
        <w:drawing>
          <wp:inline distT="0" distB="0" distL="114300" distR="114300">
            <wp:extent cx="5039995" cy="3699510"/>
            <wp:effectExtent l="0" t="0" r="8255" b="15240"/>
            <wp:docPr id="3"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7"/>
                    <pic:cNvPicPr>
                      <a:picLocks noChangeAspect="1"/>
                    </pic:cNvPicPr>
                  </pic:nvPicPr>
                  <pic:blipFill>
                    <a:blip r:embed="rId5"/>
                    <a:stretch>
                      <a:fillRect/>
                    </a:stretch>
                  </pic:blipFill>
                  <pic:spPr>
                    <a:xfrm>
                      <a:off x="0" y="0"/>
                      <a:ext cx="5039995" cy="3699510"/>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27"/>
          <w:szCs w:val="27"/>
          <w:bdr w:val="none" w:color="auto" w:sz="0" w:space="0"/>
        </w:rPr>
        <w:br w:type="textWrapping"/>
      </w:r>
      <w:r>
        <w:rPr>
          <w:rFonts w:hint="eastAsia" w:ascii="微软雅黑" w:hAnsi="微软雅黑" w:eastAsia="微软雅黑" w:cs="微软雅黑"/>
          <w:i w:val="0"/>
          <w:caps w:val="0"/>
          <w:color w:val="333333"/>
          <w:spacing w:val="0"/>
          <w:sz w:val="18"/>
          <w:szCs w:val="18"/>
          <w:bdr w:val="none" w:color="auto" w:sz="0" w:space="0"/>
        </w:rPr>
        <w:t>中外合作办学国（境）外学历学位认证系统 （毕业生请在线注册并提交在线信息，请务必在注册前认真阅读认证须知、学历学位认证申请材料、认证申请者使用手册、常见问题解答、认证工作流程等相关文档中有关新版系统使用说明的内容）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00467E"/>
          <w:spacing w:val="0"/>
          <w:sz w:val="18"/>
          <w:szCs w:val="18"/>
          <w:u w:val="none"/>
          <w:bdr w:val="none" w:color="auto" w:sz="0" w:space="0"/>
        </w:rPr>
        <w:fldChar w:fldCharType="begin"/>
      </w:r>
      <w:r>
        <w:rPr>
          <w:rFonts w:hint="eastAsia" w:ascii="微软雅黑" w:hAnsi="微软雅黑" w:eastAsia="微软雅黑" w:cs="微软雅黑"/>
          <w:i w:val="0"/>
          <w:caps w:val="0"/>
          <w:color w:val="00467E"/>
          <w:spacing w:val="0"/>
          <w:sz w:val="18"/>
          <w:szCs w:val="18"/>
          <w:u w:val="none"/>
          <w:bdr w:val="none" w:color="auto" w:sz="0" w:space="0"/>
        </w:rPr>
        <w:instrText xml:space="preserve"> HYPERLINK "http://zwfw.cscse.edu.cn/" </w:instrText>
      </w:r>
      <w:r>
        <w:rPr>
          <w:rFonts w:hint="eastAsia" w:ascii="微软雅黑" w:hAnsi="微软雅黑" w:eastAsia="微软雅黑" w:cs="微软雅黑"/>
          <w:i w:val="0"/>
          <w:caps w:val="0"/>
          <w:color w:val="00467E"/>
          <w:spacing w:val="0"/>
          <w:sz w:val="18"/>
          <w:szCs w:val="18"/>
          <w:u w:val="none"/>
          <w:bdr w:val="none" w:color="auto" w:sz="0" w:space="0"/>
        </w:rPr>
        <w:fldChar w:fldCharType="separate"/>
      </w:r>
      <w:r>
        <w:rPr>
          <w:rStyle w:val="8"/>
          <w:rFonts w:hint="eastAsia" w:ascii="微软雅黑" w:hAnsi="微软雅黑" w:eastAsia="微软雅黑" w:cs="微软雅黑"/>
          <w:i w:val="0"/>
          <w:caps w:val="0"/>
          <w:color w:val="00467E"/>
          <w:spacing w:val="0"/>
          <w:sz w:val="18"/>
          <w:szCs w:val="18"/>
          <w:u w:val="none"/>
          <w:bdr w:val="none" w:color="auto" w:sz="0" w:space="0"/>
        </w:rPr>
        <w:t>http://zwfw.cscse.edu.cn/</w:t>
      </w:r>
      <w:r>
        <w:rPr>
          <w:rFonts w:hint="eastAsia" w:ascii="微软雅黑" w:hAnsi="微软雅黑" w:eastAsia="微软雅黑" w:cs="微软雅黑"/>
          <w:i w:val="0"/>
          <w:caps w:val="0"/>
          <w:color w:val="00467E"/>
          <w:spacing w:val="0"/>
          <w:sz w:val="18"/>
          <w:szCs w:val="18"/>
          <w:u w:val="none"/>
          <w:bdr w:val="none" w:color="auto" w:sz="0" w:space="0"/>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27"/>
          <w:szCs w:val="27"/>
          <w:bdr w:val="none" w:color="auto" w:sz="0" w:space="0"/>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27"/>
          <w:szCs w:val="27"/>
          <w:bdr w:val="none" w:color="auto" w:sz="0" w:space="0"/>
        </w:rPr>
        <w:drawing>
          <wp:inline distT="0" distB="0" distL="114300" distR="114300">
            <wp:extent cx="5039995" cy="7126605"/>
            <wp:effectExtent l="0" t="0" r="8255" b="17145"/>
            <wp:docPr id="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8"/>
                    <pic:cNvPicPr>
                      <a:picLocks noChangeAspect="1"/>
                    </pic:cNvPicPr>
                  </pic:nvPicPr>
                  <pic:blipFill>
                    <a:blip r:embed="rId6"/>
                    <a:stretch>
                      <a:fillRect/>
                    </a:stretch>
                  </pic:blipFill>
                  <pic:spPr>
                    <a:xfrm>
                      <a:off x="0" y="0"/>
                      <a:ext cx="5039995" cy="7126605"/>
                    </a:xfrm>
                    <a:prstGeom prst="rect">
                      <a:avLst/>
                    </a:prstGeom>
                    <a:noFill/>
                    <a:ln w="9525">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18"/>
          <w:szCs w:val="18"/>
          <w:bdr w:val="none" w:color="auto" w:sz="0" w:space="0"/>
        </w:rPr>
        <w:t>中华人民共和国教育部中外合作办学监管工作信息平台：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00467E"/>
          <w:spacing w:val="0"/>
          <w:sz w:val="18"/>
          <w:szCs w:val="18"/>
          <w:u w:val="none"/>
          <w:bdr w:val="none" w:color="auto" w:sz="0" w:space="0"/>
        </w:rPr>
        <w:fldChar w:fldCharType="begin"/>
      </w:r>
      <w:r>
        <w:rPr>
          <w:rFonts w:hint="eastAsia" w:ascii="微软雅黑" w:hAnsi="微软雅黑" w:eastAsia="微软雅黑" w:cs="微软雅黑"/>
          <w:i w:val="0"/>
          <w:caps w:val="0"/>
          <w:color w:val="00467E"/>
          <w:spacing w:val="0"/>
          <w:sz w:val="18"/>
          <w:szCs w:val="18"/>
          <w:u w:val="none"/>
          <w:bdr w:val="none" w:color="auto" w:sz="0" w:space="0"/>
        </w:rPr>
        <w:instrText xml:space="preserve"> HYPERLINK "http://www.crs.jsj.edu.cn/aproval/detail/200" </w:instrText>
      </w:r>
      <w:r>
        <w:rPr>
          <w:rFonts w:hint="eastAsia" w:ascii="微软雅黑" w:hAnsi="微软雅黑" w:eastAsia="微软雅黑" w:cs="微软雅黑"/>
          <w:i w:val="0"/>
          <w:caps w:val="0"/>
          <w:color w:val="00467E"/>
          <w:spacing w:val="0"/>
          <w:sz w:val="18"/>
          <w:szCs w:val="18"/>
          <w:u w:val="none"/>
          <w:bdr w:val="none" w:color="auto" w:sz="0" w:space="0"/>
        </w:rPr>
        <w:fldChar w:fldCharType="separate"/>
      </w:r>
      <w:r>
        <w:rPr>
          <w:rStyle w:val="8"/>
          <w:rFonts w:hint="eastAsia" w:ascii="微软雅黑" w:hAnsi="微软雅黑" w:eastAsia="微软雅黑" w:cs="微软雅黑"/>
          <w:i w:val="0"/>
          <w:caps w:val="0"/>
          <w:color w:val="00467E"/>
          <w:spacing w:val="0"/>
          <w:sz w:val="18"/>
          <w:szCs w:val="18"/>
          <w:u w:val="none"/>
          <w:bdr w:val="none" w:color="auto" w:sz="0" w:space="0"/>
        </w:rPr>
        <w:t>http://www.crs.jsj.edu.cn/aproval/detail/200</w:t>
      </w:r>
      <w:r>
        <w:rPr>
          <w:rFonts w:hint="eastAsia" w:ascii="微软雅黑" w:hAnsi="微软雅黑" w:eastAsia="微软雅黑" w:cs="微软雅黑"/>
          <w:i w:val="0"/>
          <w:caps w:val="0"/>
          <w:color w:val="00467E"/>
          <w:spacing w:val="0"/>
          <w:sz w:val="18"/>
          <w:szCs w:val="18"/>
          <w:u w:val="none"/>
          <w:bdr w:val="none" w:color="auto" w:sz="0" w:space="0"/>
        </w:rPr>
        <w:fldChar w:fldCharType="end"/>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sz w:val="27"/>
          <w:szCs w:val="27"/>
          <w:bdr w:val="none" w:color="auto" w:sz="0" w:space="0"/>
        </w:rPr>
        <w:drawing>
          <wp:inline distT="0" distB="0" distL="114300" distR="114300">
            <wp:extent cx="304800" cy="304800"/>
            <wp:effectExtent l="0" t="0" r="0" b="0"/>
            <wp:docPr id="5"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9"/>
                    <pic:cNvPicPr>
                      <a:picLocks noChangeAspect="1"/>
                    </pic:cNvPicPr>
                  </pic:nvPicPr>
                  <pic:blipFill>
                    <a:blip r:embed="rId7"/>
                    <a:stretch>
                      <a:fillRect/>
                    </a:stretch>
                  </pic:blipFill>
                  <pic:spPr>
                    <a:xfrm>
                      <a:off x="0" y="0"/>
                      <a:ext cx="304800" cy="3048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i w:val="0"/>
          <w:caps w:val="0"/>
          <w:color w:val="B22222"/>
          <w:spacing w:val="0"/>
          <w:bdr w:val="none" w:color="auto" w:sz="0" w:space="0"/>
        </w:rPr>
        <w:t>项目历史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r>
        <w:rPr>
          <w:rFonts w:hint="eastAsia" w:ascii="微软雅黑" w:hAnsi="微软雅黑" w:eastAsia="微软雅黑" w:cs="微软雅黑"/>
          <w:i w:val="0"/>
          <w:caps w:val="0"/>
          <w:color w:val="333333"/>
          <w:spacing w:val="0"/>
          <w:sz w:val="27"/>
          <w:szCs w:val="27"/>
          <w:bdr w:val="none" w:color="auto" w:sz="0" w:space="0"/>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微软雅黑" w:hAnsi="微软雅黑" w:eastAsia="微软雅黑" w:cs="微软雅黑"/>
          <w:i w:val="0"/>
          <w:caps w:val="0"/>
          <w:color w:val="333333"/>
          <w:spacing w:val="0"/>
          <w:sz w:val="27"/>
          <w:szCs w:val="27"/>
        </w:rPr>
      </w:pPr>
      <w:r>
        <w:rPr>
          <w:rFonts w:hint="eastAsia" w:ascii="微软雅黑" w:hAnsi="微软雅黑" w:eastAsia="微软雅黑" w:cs="微软雅黑"/>
          <w:i w:val="0"/>
          <w:caps w:val="0"/>
          <w:color w:val="333333"/>
          <w:spacing w:val="0"/>
          <w:kern w:val="0"/>
          <w:sz w:val="27"/>
          <w:szCs w:val="27"/>
          <w:bdr w:val="none" w:color="auto" w:sz="0" w:space="0"/>
          <w:lang w:val="en-US" w:eastAsia="zh-CN" w:bidi="ar"/>
        </w:rPr>
        <w:drawing>
          <wp:inline distT="0" distB="0" distL="114300" distR="114300">
            <wp:extent cx="5039995" cy="2180590"/>
            <wp:effectExtent l="0" t="0" r="8255" b="10160"/>
            <wp:docPr id="6"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60"/>
                    <pic:cNvPicPr>
                      <a:picLocks noChangeAspect="1"/>
                    </pic:cNvPicPr>
                  </pic:nvPicPr>
                  <pic:blipFill>
                    <a:blip r:embed="rId8"/>
                    <a:stretch>
                      <a:fillRect/>
                    </a:stretch>
                  </pic:blipFill>
                  <pic:spPr>
                    <a:xfrm>
                      <a:off x="0" y="0"/>
                      <a:ext cx="5039995" cy="2180590"/>
                    </a:xfrm>
                    <a:prstGeom prst="rect">
                      <a:avLst/>
                    </a:prstGeom>
                    <a:noFill/>
                    <a:ln w="9525">
                      <a:noFill/>
                    </a:ln>
                  </pic:spPr>
                </pic:pic>
              </a:graphicData>
            </a:graphic>
          </wp:inline>
        </w:drawing>
      </w:r>
    </w:p>
    <w:p/>
    <w:p/>
    <w:p/>
    <w:p>
      <w:bookmarkStart w:id="0" w:name="_GoBack"/>
      <w:r>
        <w:drawing>
          <wp:inline distT="0" distB="0" distL="114300" distR="114300">
            <wp:extent cx="5267960" cy="2653665"/>
            <wp:effectExtent l="0" t="0" r="889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267960" cy="2653665"/>
                    </a:xfrm>
                    <a:prstGeom prst="rect">
                      <a:avLst/>
                    </a:prstGeom>
                    <a:noFill/>
                    <a:ln>
                      <a:noFill/>
                    </a:ln>
                  </pic:spPr>
                </pic:pic>
              </a:graphicData>
            </a:graphic>
          </wp:inline>
        </w:drawing>
      </w:r>
      <w:bookmarkEnd w:id="0"/>
    </w:p>
    <w:p>
      <w:pPr>
        <w:bidi w:val="0"/>
        <w:rPr>
          <w:rFonts w:eastAsia="微软雅黑" w:asciiTheme="minorAscii" w:hAnsiTheme="minorAscii" w:cstheme="minorBidi"/>
          <w:kern w:val="2"/>
          <w:sz w:val="24"/>
          <w:szCs w:val="24"/>
          <w:lang w:val="en-US" w:eastAsia="zh-CN" w:bidi="ar-SA"/>
        </w:rPr>
      </w:pPr>
    </w:p>
    <w:p>
      <w:pPr>
        <w:tabs>
          <w:tab w:val="left" w:pos="1101"/>
        </w:tabs>
        <w:bidi w:val="0"/>
        <w:jc w:val="left"/>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A798B9"/>
    <w:multiLevelType w:val="multilevel"/>
    <w:tmpl w:val="DAA798B9"/>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1">
    <w:nsid w:val="18571601"/>
    <w:multiLevelType w:val="multilevel"/>
    <w:tmpl w:val="1857160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8B1946"/>
    <w:rsid w:val="780B66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微软雅黑" w:asciiTheme="minorAscii" w:hAnsiTheme="minorAscii" w:cstheme="minorBidi"/>
      <w:kern w:val="2"/>
      <w:sz w:val="24"/>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NUL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2020-09-21T01:06:00Z</dcterms:created>
  <dc:creator>SUVCCESS</dc:creator>
  <cp:lastModifiedBy>Camel</cp:lastModifiedBy>
  <dcterms:modified xsi:type="dcterms:W3CDTF">2020-12-04T07:32:59Z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