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微软雅黑" w:hAnsi="微软雅黑" w:eastAsia="微软雅黑" w:cs="微软雅黑"/>
          <w:sz w:val="24"/>
          <w:szCs w:val="24"/>
        </w:rPr>
      </w:pPr>
      <w:r>
        <w:rPr>
          <w:rFonts w:hint="eastAsia" w:ascii="Microsoft YaHei UI" w:hAnsi="Microsoft YaHei UI" w:eastAsia="Microsoft YaHei UI" w:cs="Microsoft YaHei UI"/>
          <w:b/>
          <w:i w:val="0"/>
          <w:caps w:val="0"/>
          <w:color w:val="333333"/>
          <w:spacing w:val="8"/>
          <w:sz w:val="33"/>
          <w:szCs w:val="33"/>
          <w:bdr w:val="none" w:color="auto" w:sz="0" w:space="0"/>
          <w:shd w:val="clear" w:fill="FFFFFF"/>
        </w:rPr>
        <w:t>天津财经大学2021年MBA双证项目 招生简章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"天津财经大学创立于1</w:t>
      </w:r>
      <w:bookmarkStart w:id="0" w:name="_GoBack"/>
      <w:bookmarkEnd w:id="0"/>
      <w:r>
        <w:rPr>
          <w:rFonts w:hint="eastAsia" w:ascii="微软雅黑" w:hAnsi="微软雅黑" w:eastAsia="微软雅黑" w:cs="微软雅黑"/>
          <w:sz w:val="24"/>
          <w:szCs w:val="24"/>
        </w:rPr>
        <w:t>958年，是以南开大学经济类专业为基础，从华北、东北等地区高校汇聚一批经济学领域享有盛誉的名师组建起来的，也是新中国最早建立的财经大学之一。"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天津财经大学经过60余年的建设和发展，成为以管理和经济学学科为主干，兼有文学、法学、理学、工学、教育学、艺术学等八大学科门类交叉渗透、协调发展的综合性多学科大学。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天津财经大学现有"应用经济学"、"工商管理"、"管理科学与工程"等3个一级学科博士学位授权点、3个博士后科研流动站，覆盖21个二级学科博士学位授权点；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拥有7个一级学科硕士学位授权点，覆盖46个二级学科硕士学位授权点和13个专业硕士学位授权点，48个本科专业，形成了包括博士生、硕士生、本科生教育、以及层次齐全、形式多样的成人教育、留学生教育、从业资格培训等在内完善的人才培养序列。</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校坚持对外开放，走国际化战略办学道路。经国务院学位办批准，并经美国中北地区教育评估委员会实地考察评估后正式确认，学校成为我国最早拥有与国外合作举办学历教育并授予美国MBA学位资格的院校之一。</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2017年12月，通过国际MBA协会（Association of MBAs，简称AMBA）的AMBA国际认证， AMBA认证是MBA教育中心获得的首个国际认证资质，也是天津财经大学通过的第一个商学教育国际认证，认证的成功对于学校MBA项目、EMBA项目乃至整个商学教育都具有战略性意义，开启了天财商学教育国际认证及质量改进的新征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1996年，天津财经大学成为MBA和同等学力硕士授予权单位。2009年，天津财经大学成为EMBA教育项目办学权单位。</w:t>
      </w:r>
    </w:p>
    <w:p>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01研究方向及课程体系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天津财经大学MBA项目设置三个综合专业方向：企业管理、金融管理和公司理财，每个专业方向细化为若干个子方向。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MBA研究生课程体系主要包括：学位课、必修课、专业方向选修课、公共选修课和整合实践模块。</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其中必修课部分主要包括职能类管理课程和分析工具类课程，在此基础上开设管理类各领域专业领域的理论、方法和技能的课程；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专业方向选修课模块主要涉及具体业务领域的理论、方法和技能；公共选修课模块重在培养学生科学思维方式和综合能力。</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同时为了实现依托学校财经类教育方面的优势，培养具有正确的政治方向，掌握现代管理理论与方法，精通财经类专业知识和技能，具备创新精神和社会责任感的企业财经业务骨干和管理人员的培养目标，进一步优化课程体系，根据课程教学特点将课程分为理论基础教学模块、理论实践教学模块和理论案例教学模块。其中：</w:t>
      </w:r>
    </w:p>
    <w:p>
      <w:pPr>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理论基础教学模块：</w:t>
      </w:r>
      <w:r>
        <w:rPr>
          <w:rFonts w:hint="eastAsia" w:ascii="微软雅黑" w:hAnsi="微软雅黑" w:eastAsia="微软雅黑" w:cs="微软雅黑"/>
          <w:sz w:val="24"/>
          <w:szCs w:val="24"/>
        </w:rPr>
        <w:t>该模块课程教学目的主要为MBA学生在思想政治、语言沟通、科学研究方面打基础。教学过程以课堂教学为主要方式，课程考核采取期末考试结合平时考核的形成完成；</w:t>
      </w:r>
    </w:p>
    <w:p>
      <w:pPr>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理论实践教学模块</w:t>
      </w:r>
      <w:r>
        <w:rPr>
          <w:rFonts w:hint="eastAsia" w:ascii="微软雅黑" w:hAnsi="微软雅黑" w:eastAsia="微软雅黑" w:cs="微软雅黑"/>
          <w:sz w:val="24"/>
          <w:szCs w:val="24"/>
        </w:rPr>
        <w:t>：该模块课程教学目的主要以开拓MBA学生视野，丰富管理实践案例储备，建立管理思维模式为重点。教学过程分为校内教师理论教学和企业专家实践教学两部分，课程考核采取期末考试结合平时考核的形成完成；</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理论案例教学模块：</w:t>
      </w:r>
      <w:r>
        <w:rPr>
          <w:rFonts w:hint="eastAsia" w:ascii="微软雅黑" w:hAnsi="微软雅黑" w:eastAsia="微软雅黑" w:cs="微软雅黑"/>
          <w:sz w:val="24"/>
          <w:szCs w:val="24"/>
        </w:rPr>
        <w:t>该模块课程教学目的主要以提高MBA学生管理实操能力，丰富管理经验，创新管理思维模式为重点。教学过程分为课程理论教学和案例教学两部分，其中案例教学课程不能少于总课时的三分之一，课程考核采取期末考试或者案例分析报告结合平时考核的形成完成。</w:t>
      </w:r>
    </w:p>
    <w:p>
      <w:pPr>
        <w:rPr>
          <w:rFonts w:hint="eastAsia" w:ascii="微软雅黑" w:hAnsi="微软雅黑" w:eastAsia="微软雅黑" w:cs="微软雅黑"/>
          <w:sz w:val="24"/>
          <w:szCs w:val="24"/>
        </w:rPr>
      </w:pPr>
    </w:p>
    <w:p>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02招生项目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3040" cy="2627630"/>
            <wp:effectExtent l="0" t="0" r="381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2627630"/>
                    </a:xfrm>
                    <a:prstGeom prst="rect">
                      <a:avLst/>
                    </a:prstGeom>
                    <a:noFill/>
                    <a:ln>
                      <a:noFill/>
                    </a:ln>
                  </pic:spPr>
                </pic:pic>
              </a:graphicData>
            </a:graphic>
          </wp:inline>
        </w:drawing>
      </w:r>
    </w:p>
    <w:p>
      <w:pPr>
        <w:rPr>
          <w:rFonts w:hint="eastAsia" w:ascii="微软雅黑" w:hAnsi="微软雅黑" w:eastAsia="微软雅黑" w:cs="微软雅黑"/>
          <w:sz w:val="24"/>
          <w:szCs w:val="24"/>
        </w:rPr>
      </w:pPr>
    </w:p>
    <w:p>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报名条件</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拥护中国共产党的领导，愿为社会主义现代化建设服务，品德良好，遵纪守法；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大学本科毕业后有三年及以上工作经历（2018年9月1日前获得毕业证书），或获得硕士学位或博士学位后有 2 年以上工作经历（2019年9月1日前获得学位证书），或获得国家承认的高职高专毕业学历或大学本科结业后，符合招生单位相关学业要求，达到大学本科毕业同等学力并有 5 年以上工作经验（2016年9月1日前获得专科毕业证书或本科结业证书）；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 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（如有变化，以教育部当年的研究生招生文件细则为准。）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04初试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参加教育部统一组织的全国联考，考试科目为：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英语（满分值100分）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管理类联考综合能力（满分值200分）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网上报名时间：2020年10月；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现场确认时间：2020年11月初；</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考试时间：2020年12月。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详情请关注中国研究生招生信息网（http://yz.chsi.com.cn/）及天津财经大学MBA教育中心网站（http://mba.tjufe.edu.cn）相关通知。</w:t>
      </w:r>
    </w:p>
    <w:p>
      <w:pPr>
        <w:rPr>
          <w:rFonts w:hint="eastAsia" w:ascii="微软雅黑" w:hAnsi="微软雅黑" w:eastAsia="微软雅黑" w:cs="微软雅黑"/>
          <w:sz w:val="24"/>
          <w:szCs w:val="24"/>
        </w:rPr>
      </w:pPr>
    </w:p>
    <w:p>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05面试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2021年MBA面试工作分为提前批次面试和正常批次复试，考生如通过提前批次面试，笔试成绩达到2021年全国硕士研究生招生考试工商管理硕士考生进入复试的初试成绩基本要求（A类线），通过资格审核复审，并于正常批面试前提交相关的政治时事论文一篇,进行思政面谈且成绩合格，满足体检合格等条件，即获得预录取资格（如有变化，以教育部当年的研究生招生文件细则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未通过提前批次面试或未参加提前批次面试的考生，笔试成绩达到国家分数线（A类线）可以参加正常批次面试。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申请参加面试流程图</w:t>
      </w:r>
    </w:p>
    <w:p>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drawing>
          <wp:inline distT="0" distB="0" distL="114300" distR="114300">
            <wp:extent cx="5273040" cy="3679825"/>
            <wp:effectExtent l="0" t="0" r="3810" b="15875"/>
            <wp:docPr id="7" name="图片 7" descr="微信图片_2020120113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01201135403"/>
                    <pic:cNvPicPr>
                      <a:picLocks noChangeAspect="1"/>
                    </pic:cNvPicPr>
                  </pic:nvPicPr>
                  <pic:blipFill>
                    <a:blip r:embed="rId5"/>
                    <a:stretch>
                      <a:fillRect/>
                    </a:stretch>
                  </pic:blipFill>
                  <pic:spPr>
                    <a:xfrm>
                      <a:off x="0" y="0"/>
                      <a:ext cx="5273040" cy="3679825"/>
                    </a:xfrm>
                    <a:prstGeom prst="rect">
                      <a:avLst/>
                    </a:prstGeom>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参加面试流程：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（1）提前批次面试和正常批次复试时间安排将在MBA教育中心网站公布；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（2）面试内容：英语能力测试、管理能力测试；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（3）具体面试办法请关注中心网站通知；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（4）面试不合格考生不予录取。</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06录取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根据全国统一录取分数线，资格审核、体检以及政审合格者，天津财经大学将根据考生的初试成绩和面试成绩的加权总成绩从高到低排名，给予拟录取资格。</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MBA研究生录取类别分为定向培养和非定向培养两类：其中全日制班为非定向培养的硕士研究生，人事档案必须转入天津财经大学，户口可以自愿选择是否迁入天津财经大学，毕业后根据国家就业政策就业，按就业三方协议将档案、户口派遣到签订的就业单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非全日制班为定向培养的硕士研究生，人事档案不迁入天津财经大学，户口不转入学校，毕业后派遣回录取时确定的定向委培单位工作。</w:t>
      </w:r>
    </w:p>
    <w:p>
      <w:pPr>
        <w:rPr>
          <w:rFonts w:hint="eastAsia" w:ascii="微软雅黑" w:hAnsi="微软雅黑" w:eastAsia="微软雅黑" w:cs="微软雅黑"/>
          <w:b/>
          <w:bCs/>
          <w:sz w:val="24"/>
          <w:szCs w:val="24"/>
        </w:rPr>
      </w:pPr>
    </w:p>
    <w:p>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07学位授予</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课程学习实行学分制，学生在规定的学习年限内（最长不能超过5年）成绩合格、修满规定学分，通过学位论文答辩，并达到毕业相关的其他要求，可获得天津财经大学工商管理硕士研究生毕业证书和学位证书。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MBA教育中心</w:t>
      </w:r>
    </w:p>
    <w:p>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2020年9月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0D23B7"/>
    <w:rsid w:val="4FC11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2020-12-01T05:50:56Z</dcterms:created>
  <dc:creator>SUCCESS</dc:creator>
  <cp:lastModifiedBy>SUCCESS</cp:lastModifiedBy>
  <dcterms:modified xsi:type="dcterms:W3CDTF">2020-12-01T05:55:05Z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