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微软雅黑" w:hAnsi="微软雅黑" w:eastAsia="微软雅黑" w:cs="微软雅黑"/>
          <w:b/>
          <w:bCs/>
          <w:sz w:val="28"/>
          <w:szCs w:val="28"/>
        </w:rPr>
      </w:pPr>
      <w:r>
        <w:rPr>
          <w:rFonts w:hint="eastAsia" w:ascii="微软雅黑" w:hAnsi="微软雅黑" w:eastAsia="微软雅黑" w:cs="微软雅黑"/>
          <w:b/>
          <w:bCs/>
          <w:sz w:val="28"/>
          <w:szCs w:val="28"/>
        </w:rPr>
        <w:t>兰州交通大学2021年工商管理硕士（MBA）招生简章</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兰州交通大学MBA简介</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兰州交通大学（原兰州铁道学院</w:t>
      </w:r>
      <w:bookmarkStart w:id="0" w:name="_GoBack"/>
      <w:bookmarkEnd w:id="0"/>
      <w:r>
        <w:rPr>
          <w:rFonts w:hint="eastAsia" w:ascii="微软雅黑" w:hAnsi="微软雅黑" w:eastAsia="微软雅黑" w:cs="微软雅黑"/>
          <w:sz w:val="24"/>
          <w:szCs w:val="24"/>
        </w:rPr>
        <w:t>）创建于1958年5月，由北京铁道学院(现北京交通大学)、唐山铁道学院(现西南交通大学)主干系科成建制迁兰组建而成，为我国第三所铁路本科高校，原隶属铁道部。2000年实行“中央与地方共建、以地方政府管理为主”的体制。学校学科特色鲜明、门类齐全，涵盖了工学、理学、经济学、管理学、文学、法学、艺术学和教育学等8个学科门类。学校始终秉承交通大学“严谨治学、严格要求”的优良办学传统，着力培养基础扎实、知识面宽、能力强、素质高、具有创新精神和国际视野的高级专门人才。2017年入选教育部全国第二批深化创新创业教育改革示范学校。</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兰州交通大学MBA项目是教育部2009年批准设立的硕士研究生学历教育项目。多年来，紧紧围绕学校发展目标，始终坚持立德树人、工商报国的人才培养理念，针对有工作经验的现职管理人员，以行为科学、经济学、社会学、信息科学为基础，以提高能力为追求，辅之以知识体系完善和素养提升，使学员在实际能力提升的同时，建立相应的理论体系，成为具有广博知识与较强实践应用能力的工商管理复合型人才在教育理念、管理机制、培养模式、行业自律方面逐渐形成了自己的办学特色，培养质量稳步提高，品牌效应逐渐显现。2017年部教育部下发了《关于对口支援兰州交通大学等高校的通知》(教高函〔2017〕55号),决定由教育部直属高校天津大学对口支援兰州交通大学，学校MBA教育也乘此东风在师资队伍、教学合作、实践创新等方面得到了充分的交流和支援。</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兰州交通大学经济管理学院现有工商管理系、会计系、经济系3个系，5个本科专业、4个硕士学位授权点。学院有教职工72人，专任教师66人。其中教授、副教授38人；有省级实验教学示范中心、电子商务与供应链管理等省级重点实验室；有甘肃省物流与信息技术研究院、西北交通经济研究中心、“阿里巴巴跨境电商人才培训基地”孵化等研究实践平台，也有MPAcc教育中心等教育项目。</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兰州交通大学MBA生源地遍布祖国华北、西北、西南、东北、华东等各地企事业单位，从业遍布国有企业、民营企业与外资企业的各个领域，在生产管理、商务管理、交通运输、工程管理、现代物流等领域，都取得了卓越成绩，呈现出良好工作前景。截至目前已有毕业生近900名。</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2021年，我们面向全国计划招生160名左右非全日制MBA研究生。实际招生人数按照兰州交通大学2021年硕士研究生招生简章要求执行。</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MBA课程设置与方案</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一、课程方向</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通过学位论文选题方向加以体现。学位论文选题方向有：</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1.生产管理方向。主要聚焦轨道交通运营、装备制造等领域的智慧生产、智慧技术、流程再造、大数据处理等领域。</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2.现代物流与供应链管理方向。主要聚焦交通、物流领域企业的供应链管理、电子商务等领域。</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3.财会金融服务方向。主要聚焦金融、保险、证券、投融资管理等领域。</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4.组织创新管理方向。主要聚焦战略与公司治理、人力资源管理、市场营销管理、领导力与企业文化、创新管理、创业管理等领域。</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二、课程设置</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中国特色社会主义理论与实践研究、马克思主义与社会科学方法论、管理经济学、组织行为学、会计学、财务管理、财务报表分析、数据模拟与决策、运营管理、战略管理、人力资源管理、营销管理、信息系统与信息资源管理、创新创业管理、领导力开发、艺术与商业文化、轨道交通运营、物流与供应链管理、金融市场与金融工具、电子商务、知识产权保护等课程。</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MBA招生工作</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报考条件、报名注意、考生资格审查、初试科目及时间、体检、复试和录取等招生事项，执行兰州交通大学2021年硕士研究生招生简章所提规范要求。</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一、报考条件</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1、中华人民共和国公民。</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2、拥护中国共产党的领导，品德良好，遵纪守法。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3、身体健康状况符合国家和招生单位规定的体检要求。</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4、大学本科毕业后有3年或3年以上工作经验的人员；获得国家承认的高职高专毕业学历后，经5年或5年以上，达到与大学本科毕业生同等学力的人员；已获硕士学位或博士学位并有2年或2年以上工作经验的人员。</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二、报名方式及时间</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报名方式：采取网上报名与现场确认相结合的方式。考生在规定的网上报名时间（2020年10月）内，登录“中国研究生招生信息网”（公网网址：http://yz.chsi.com.cn，教育网址：http://yz.chsi.cn）浏览报考须知，按教育部、考生所在地省级教育招生考试机构、报考点以及报考招生单位的网上公告要求报名，按要求填写、提交报名信息。</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三、报名确认</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2020年11月，根据考生所在地省级教育招生考试管理机构网上通知，到指定的地点进行现场确认。</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四、入学考试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1、初试（全国MBA院校联考）</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科目：英语（100分）、综合能力（200分）；</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考生凭网报“用户名”和“密码”登录研招网下载打印《准考证》，招生单位不再给考生寄发《准考证》。</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初试时间：2021年全国硕士研究生招生考试初试时间为2020年12月下旬（具体时间以中国研究生招生信息网公布的为准）。</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2、复试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由我校单独组织复试，复试内容包括笔试（思想政治理论+管理学）与综合面试，具体以复试通知为准。</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3、体检</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硕士研究生体检工作在复试阶段组织进行，体检标准参照普通高校招生体检标准执行。  </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五、培养方式及学位授予</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MBA学制为3年，学习年限为2.5年-3年，最长学习年限为6年。</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学员在规定年限内完成相关的课程，成绩合格，修满规定学分，完成硕士论文并通过论文答辩，经学校审核批准后，授予兰州交通大学工商管理硕士（MBA）毕业证书和硕士学位证书。</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六、学费</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非全日制工商管理硕士为20000元/年。</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七、其他</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1、根据学校下达的招生计划和录取规则录取。录取后不转档案和户籍。</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2、新生应按时报到。不能按时报到者，须有正当理由和有关证明，并向招生单位请假。无故逾期两周不报到者，取消入学资格。</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MBA招生工作时间安排</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2020年10月：网上报名</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2020年11月：确认信息（具体以教育考试院通知为准）</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2020年12月：上网打印准考证</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2020年12月：参加全国MBA联考</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2021年3月：成绩查询</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2021年4月：进行复试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2021年4月下旬：公布拟录取名单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2021年6月：发录取通知书</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2021年9月：新生报到注册</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（具体时间以教育部文件规定为准）</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MBA招生咨询联系方式</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学校代码：10732           地址：甘肃省兰州市安宁西路88号</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邮编：730070            网址：http://www.lzjtu.cn</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研究生院</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网址：http://yjsc.lzjtu.edu.cn</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电话及传真：0931-4938103        E-mail：yzb@mail.lzjtu.cn</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兰州交通大学MBA教育中心</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甘肃省兰州市安宁区安宁西路88号兰州交通大学科技教育中心18楼1807室</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联系电话：0931-4956252</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邮 箱：mba@mail.lzjtu.cn  网 址：http://mba.lzjtu.cn</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兰州交通大学MBA教育中心公众号</w:t>
      </w:r>
    </w:p>
    <w:p>
      <w:pPr>
        <w:rPr>
          <w:rFonts w:hint="eastAsia" w:ascii="微软雅黑" w:hAnsi="微软雅黑" w:eastAsia="微软雅黑" w:cs="微软雅黑"/>
          <w:sz w:val="24"/>
          <w:szCs w:val="24"/>
        </w:rPr>
      </w:pPr>
      <w:r>
        <w:rPr>
          <w:rFonts w:ascii="宋体" w:hAnsi="宋体" w:eastAsia="宋体" w:cs="宋体"/>
          <w:sz w:val="24"/>
          <w:szCs w:val="24"/>
        </w:rPr>
        <w:drawing>
          <wp:inline distT="0" distB="0" distL="114300" distR="114300">
            <wp:extent cx="3533775" cy="3533775"/>
            <wp:effectExtent l="0" t="0" r="9525" b="952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4"/>
                    <a:stretch>
                      <a:fillRect/>
                    </a:stretch>
                  </pic:blipFill>
                  <pic:spPr>
                    <a:xfrm>
                      <a:off x="0" y="0"/>
                      <a:ext cx="3533775" cy="3533775"/>
                    </a:xfrm>
                    <a:prstGeom prst="rect">
                      <a:avLst/>
                    </a:prstGeom>
                    <a:noFill/>
                    <a:ln w="9525">
                      <a:noFill/>
                    </a:ln>
                  </pic:spPr>
                </pic:pic>
              </a:graphicData>
            </a:graphic>
          </wp:inline>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CF62D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2020-12-07T02:28:42Z</dcterms:created>
  <dc:creator>SUCCESS</dc:creator>
  <cp:lastModifiedBy>SUCCESS</cp:lastModifiedBy>
  <dcterms:modified xsi:type="dcterms:W3CDTF">2020-12-07T02:30:32Z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