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center"/>
        <w:rPr>
          <w:rFonts w:hint="eastAsia" w:ascii="微软雅黑" w:hAnsi="微软雅黑" w:eastAsia="微软雅黑" w:cs="微软雅黑"/>
          <w:b/>
          <w:i w:val="0"/>
          <w:caps w:val="0"/>
          <w:color w:val="991418"/>
          <w:spacing w:val="0"/>
          <w:bdr w:val="none" w:color="auto" w:sz="0" w:space="0"/>
          <w:shd w:val="clear" w:fill="FFFFFF"/>
        </w:rPr>
      </w:pPr>
      <w:r>
        <w:drawing>
          <wp:inline distT="0" distB="0" distL="114300" distR="114300">
            <wp:extent cx="5267960" cy="1618615"/>
            <wp:effectExtent l="0" t="0" r="889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5267960" cy="1618615"/>
                    </a:xfrm>
                    <a:prstGeom prst="rect">
                      <a:avLst/>
                    </a:prstGeom>
                    <a:noFill/>
                    <a:ln>
                      <a:noFill/>
                    </a:ln>
                  </pic:spPr>
                </pic:pic>
              </a:graphicData>
            </a:graphic>
          </wp:inline>
        </w:drawing>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center"/>
        <w:rPr>
          <w:rFonts w:hint="eastAsia" w:ascii="微软雅黑" w:hAnsi="微软雅黑" w:eastAsia="微软雅黑" w:cs="微软雅黑"/>
          <w:b/>
          <w:i w:val="0"/>
          <w:caps w:val="0"/>
          <w:color w:val="991418"/>
          <w:spacing w:val="0"/>
          <w:bdr w:val="none" w:color="auto" w:sz="0" w:space="0"/>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center"/>
        <w:rPr>
          <w:rFonts w:hint="eastAsia" w:ascii="微软雅黑" w:hAnsi="微软雅黑" w:eastAsia="微软雅黑" w:cs="微软雅黑"/>
          <w:b/>
          <w:color w:val="363636"/>
        </w:rPr>
      </w:pPr>
      <w:r>
        <w:rPr>
          <w:rFonts w:hint="eastAsia" w:ascii="微软雅黑" w:hAnsi="微软雅黑" w:eastAsia="微软雅黑" w:cs="微软雅黑"/>
          <w:b/>
          <w:i w:val="0"/>
          <w:caps w:val="0"/>
          <w:color w:val="991418"/>
          <w:spacing w:val="0"/>
          <w:bdr w:val="none" w:color="auto" w:sz="0" w:space="0"/>
          <w:shd w:val="clear" w:fill="FFFFFF"/>
        </w:rPr>
        <w:t>课程模式</w:t>
      </w:r>
    </w:p>
    <w:p>
      <w:pPr>
        <w:pStyle w:val="3"/>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color w:val="991418"/>
        </w:rPr>
      </w:pPr>
      <w:r>
        <w:rPr>
          <w:rFonts w:hint="eastAsia" w:ascii="微软雅黑" w:hAnsi="微软雅黑" w:eastAsia="微软雅黑" w:cs="微软雅黑"/>
          <w:b/>
          <w:i w:val="0"/>
          <w:caps w:val="0"/>
          <w:color w:val="991418"/>
          <w:spacing w:val="0"/>
          <w:shd w:val="clear" w:fill="FFFFFF"/>
        </w:rPr>
        <w:t>课程时长18个月</w:t>
      </w:r>
      <w:r>
        <w:rPr>
          <w:rFonts w:hint="eastAsia" w:ascii="微软雅黑" w:hAnsi="微软雅黑" w:eastAsia="微软雅黑" w:cs="微软雅黑"/>
          <w:b/>
          <w:i w:val="0"/>
          <w:caps w:val="0"/>
          <w:color w:val="991418"/>
          <w:spacing w:val="0"/>
          <w:shd w:val="clear" w:fill="FFFFFF"/>
        </w:rPr>
        <w:br w:type="textWrapping"/>
      </w:r>
      <w:r>
        <w:rPr>
          <w:rFonts w:hint="eastAsia" w:ascii="微软雅黑" w:hAnsi="微软雅黑" w:eastAsia="微软雅黑" w:cs="微软雅黑"/>
          <w:b/>
          <w:i w:val="0"/>
          <w:caps w:val="0"/>
          <w:color w:val="991418"/>
          <w:spacing w:val="0"/>
          <w:shd w:val="clear" w:fill="FFFFFF"/>
        </w:rPr>
        <w:t>每月集中授课四天</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复旦大学—华盛顿大学EMBA项目课程时长设定为18个月，并以课堂学习为重点。充分考虑到在职高管人员的繁忙日程，因此课程每月集中授课一次，地点为上海复旦大学管理学院，时间为周五至周一，上午8:30至下午5:30。</w:t>
      </w:r>
    </w:p>
    <w:p>
      <w:pPr>
        <w:pStyle w:val="3"/>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color w:val="991418"/>
        </w:rPr>
      </w:pPr>
      <w:r>
        <w:rPr>
          <w:rFonts w:hint="eastAsia" w:ascii="微软雅黑" w:hAnsi="微软雅黑" w:eastAsia="微软雅黑" w:cs="微软雅黑"/>
          <w:b/>
          <w:i w:val="0"/>
          <w:caps w:val="0"/>
          <w:color w:val="991418"/>
          <w:spacing w:val="0"/>
          <w:shd w:val="clear" w:fill="FFFFFF"/>
        </w:rPr>
        <w:t>三大移动课堂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课程主要授课地点为复旦大学管理学院，但是为了给学员提供更好的学习体验，我们在开学之初，安排了苏州住读模块。在学业中期，配合战略创新课程，会选择全球创新创业领先地区，进行海外移动课堂。在学期末，安排为期2周的美国移动课堂，地点包括华盛顿、纽约和圣路易斯。</w:t>
      </w:r>
    </w:p>
    <w:p>
      <w:pPr>
        <w:pStyle w:val="3"/>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color w:val="991418"/>
        </w:rPr>
      </w:pPr>
      <w:r>
        <w:rPr>
          <w:rFonts w:hint="eastAsia" w:ascii="微软雅黑" w:hAnsi="微软雅黑" w:eastAsia="微软雅黑" w:cs="微软雅黑"/>
          <w:b/>
          <w:i w:val="0"/>
          <w:caps w:val="0"/>
          <w:color w:val="991418"/>
          <w:spacing w:val="0"/>
          <w:shd w:val="clear" w:fill="FFFFFF"/>
        </w:rPr>
        <w:t>华盛顿大学工商管理硕士学位 &amp; 复旦大学学习证明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学员毕业时，将获得由华盛顿大学颁发的AACSB认证的行政工商管理硕士学位证书，以及由复旦大学颁发的学习证明。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center"/>
        <w:rPr>
          <w:rFonts w:hint="eastAsia" w:ascii="微软雅黑" w:hAnsi="微软雅黑" w:eastAsia="微软雅黑" w:cs="微软雅黑"/>
          <w:b/>
          <w:color w:val="363636"/>
        </w:rPr>
      </w:pPr>
      <w:r>
        <w:rPr>
          <w:rFonts w:hint="eastAsia" w:ascii="微软雅黑" w:hAnsi="微软雅黑" w:eastAsia="微软雅黑" w:cs="微软雅黑"/>
          <w:b/>
          <w:i w:val="0"/>
          <w:caps w:val="0"/>
          <w:color w:val="991418"/>
          <w:spacing w:val="0"/>
          <w:bdr w:val="none" w:color="auto" w:sz="0" w:space="0"/>
          <w:shd w:val="clear" w:fill="FFFFFF"/>
        </w:rPr>
        <w:t>移动课堂模块</w:t>
      </w:r>
    </w:p>
    <w:p>
      <w:pPr>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caps w:val="0"/>
          <w:color w:val="4A4A4A"/>
          <w:spacing w:val="0"/>
          <w:sz w:val="24"/>
          <w:szCs w:val="24"/>
        </w:rPr>
      </w:pPr>
      <w:r>
        <w:rPr>
          <w:rFonts w:hint="eastAsia" w:ascii="微软雅黑" w:hAnsi="微软雅黑" w:eastAsia="微软雅黑" w:cs="微软雅黑"/>
          <w:i w:val="0"/>
          <w:caps w:val="0"/>
          <w:color w:val="4A4A4A"/>
          <w:spacing w:val="0"/>
          <w:kern w:val="0"/>
          <w:sz w:val="24"/>
          <w:szCs w:val="24"/>
          <w:bdr w:val="none" w:color="auto" w:sz="0" w:space="0"/>
          <w:shd w:val="clear" w:fill="FFFFFF"/>
          <w:lang w:val="en-US" w:eastAsia="zh-CN" w:bidi="ar"/>
        </w:rPr>
        <w:drawing>
          <wp:inline distT="0" distB="0" distL="114300" distR="114300">
            <wp:extent cx="1609725" cy="161925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1609725" cy="1619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6" w:afterAutospacing="0" w:line="17" w:lineRule="atLeast"/>
        <w:ind w:left="0" w:right="0"/>
        <w:rPr>
          <w:rFonts w:hint="eastAsia" w:ascii="微软雅黑" w:hAnsi="微软雅黑" w:eastAsia="微软雅黑" w:cs="微软雅黑"/>
          <w:b/>
          <w:color w:val="363636"/>
          <w:sz w:val="42"/>
          <w:szCs w:val="42"/>
        </w:rPr>
      </w:pPr>
      <w:r>
        <w:rPr>
          <w:rFonts w:hint="eastAsia" w:ascii="微软雅黑" w:hAnsi="微软雅黑" w:eastAsia="微软雅黑" w:cs="微软雅黑"/>
          <w:b/>
          <w:i w:val="0"/>
          <w:caps w:val="0"/>
          <w:color w:val="363636"/>
          <w:spacing w:val="0"/>
          <w:sz w:val="42"/>
          <w:szCs w:val="42"/>
          <w:bdr w:val="none" w:color="auto" w:sz="0" w:space="0"/>
          <w:shd w:val="clear" w:fill="FFFFFF"/>
        </w:rPr>
        <w:t>中国部分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学员们将在中国苏州迎来复旦大学—华盛顿大学EMBA项目的开学入读模块。在苏州的学习中，学员们将考察管理策略，划分学习小组，并认识其他学员（这些学员均是来自亚洲及其他地区各个企业的资深专业人员），并在学员们相互了解和互动中，建立独一无二的班级文化。</w:t>
      </w:r>
    </w:p>
    <w:p>
      <w:pPr>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caps w:val="0"/>
          <w:color w:val="4A4A4A"/>
          <w:spacing w:val="0"/>
          <w:sz w:val="24"/>
          <w:szCs w:val="24"/>
        </w:rPr>
      </w:pPr>
      <w:r>
        <w:rPr>
          <w:rFonts w:hint="eastAsia" w:ascii="微软雅黑" w:hAnsi="微软雅黑" w:eastAsia="微软雅黑" w:cs="微软雅黑"/>
          <w:i w:val="0"/>
          <w:caps w:val="0"/>
          <w:color w:val="4A4A4A"/>
          <w:spacing w:val="0"/>
          <w:kern w:val="0"/>
          <w:sz w:val="24"/>
          <w:szCs w:val="24"/>
          <w:bdr w:val="none" w:color="auto" w:sz="0" w:space="0"/>
          <w:shd w:val="clear" w:fill="FFFFFF"/>
          <w:lang w:val="en-US" w:eastAsia="zh-CN" w:bidi="ar"/>
        </w:rPr>
        <w:drawing>
          <wp:inline distT="0" distB="0" distL="114300" distR="114300">
            <wp:extent cx="1609725" cy="1619250"/>
            <wp:effectExtent l="0" t="0" r="9525"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6"/>
                    <a:stretch>
                      <a:fillRect/>
                    </a:stretch>
                  </pic:blipFill>
                  <pic:spPr>
                    <a:xfrm>
                      <a:off x="0" y="0"/>
                      <a:ext cx="1609725" cy="1619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6" w:afterAutospacing="0" w:line="17" w:lineRule="atLeast"/>
        <w:ind w:left="0" w:right="0"/>
        <w:rPr>
          <w:rFonts w:hint="eastAsia" w:ascii="微软雅黑" w:hAnsi="微软雅黑" w:eastAsia="微软雅黑" w:cs="微软雅黑"/>
          <w:b/>
          <w:color w:val="363636"/>
          <w:sz w:val="42"/>
          <w:szCs w:val="42"/>
        </w:rPr>
      </w:pPr>
      <w:r>
        <w:rPr>
          <w:rFonts w:hint="eastAsia" w:ascii="微软雅黑" w:hAnsi="微软雅黑" w:eastAsia="微软雅黑" w:cs="微软雅黑"/>
          <w:b/>
          <w:i w:val="0"/>
          <w:caps w:val="0"/>
          <w:color w:val="363636"/>
          <w:spacing w:val="0"/>
          <w:sz w:val="42"/>
          <w:szCs w:val="42"/>
          <w:bdr w:val="none" w:color="auto" w:sz="0" w:space="0"/>
          <w:shd w:val="clear" w:fill="FFFFFF"/>
        </w:rPr>
        <w:t>以色列创新移动课堂（期中）</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为了强化创新创业模块的课程， 我们为学生精心安排了为期一周的以色列移动课堂。 同学们将在以色列参加移动课堂， 学习“创新管理”和“创业学”课程。 与此同时， 他们将参观位于特拉维夫的知名创新企业并有机会和企业高管近距离沟通。 我们将邀请当地企业代表分享以色列最新的前沿科技，创新氛围和商业环境，初创企业融资及风险管理，以及创新企业的成长之路等话题。</w:t>
      </w:r>
    </w:p>
    <w:p>
      <w:pPr>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caps w:val="0"/>
          <w:color w:val="4A4A4A"/>
          <w:spacing w:val="0"/>
          <w:sz w:val="24"/>
          <w:szCs w:val="24"/>
        </w:rPr>
      </w:pPr>
      <w:r>
        <w:rPr>
          <w:rFonts w:hint="eastAsia" w:ascii="微软雅黑" w:hAnsi="微软雅黑" w:eastAsia="微软雅黑" w:cs="微软雅黑"/>
          <w:i w:val="0"/>
          <w:caps w:val="0"/>
          <w:color w:val="4A4A4A"/>
          <w:spacing w:val="0"/>
          <w:kern w:val="0"/>
          <w:sz w:val="24"/>
          <w:szCs w:val="24"/>
          <w:bdr w:val="none" w:color="auto" w:sz="0" w:space="0"/>
          <w:shd w:val="clear" w:fill="FFFFFF"/>
          <w:lang w:val="en-US" w:eastAsia="zh-CN" w:bidi="ar"/>
        </w:rPr>
        <w:drawing>
          <wp:inline distT="0" distB="0" distL="114300" distR="114300">
            <wp:extent cx="1609725" cy="1619250"/>
            <wp:effectExtent l="0" t="0" r="9525"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7"/>
                    <a:stretch>
                      <a:fillRect/>
                    </a:stretch>
                  </pic:blipFill>
                  <pic:spPr>
                    <a:xfrm>
                      <a:off x="0" y="0"/>
                      <a:ext cx="1609725" cy="1619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6" w:afterAutospacing="0" w:line="17" w:lineRule="atLeast"/>
        <w:ind w:left="0" w:right="0"/>
        <w:rPr>
          <w:rFonts w:hint="eastAsia" w:ascii="微软雅黑" w:hAnsi="微软雅黑" w:eastAsia="微软雅黑" w:cs="微软雅黑"/>
          <w:b/>
          <w:color w:val="363636"/>
          <w:sz w:val="42"/>
          <w:szCs w:val="42"/>
        </w:rPr>
      </w:pPr>
      <w:r>
        <w:rPr>
          <w:rFonts w:hint="eastAsia" w:ascii="微软雅黑" w:hAnsi="微软雅黑" w:eastAsia="微软雅黑" w:cs="微软雅黑"/>
          <w:b/>
          <w:i w:val="0"/>
          <w:caps w:val="0"/>
          <w:color w:val="363636"/>
          <w:spacing w:val="0"/>
          <w:sz w:val="42"/>
          <w:szCs w:val="42"/>
          <w:bdr w:val="none" w:color="auto" w:sz="0" w:space="0"/>
          <w:shd w:val="clear" w:fill="FFFFFF"/>
        </w:rPr>
        <w:t>美国移动课堂（期末）</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color w:val="595959"/>
        </w:rPr>
      </w:pPr>
      <w:r>
        <w:rPr>
          <w:rFonts w:hint="eastAsia" w:ascii="微软雅黑" w:hAnsi="微软雅黑" w:eastAsia="微软雅黑" w:cs="微软雅黑"/>
          <w:i w:val="0"/>
          <w:caps w:val="0"/>
          <w:color w:val="595959"/>
          <w:spacing w:val="0"/>
          <w:sz w:val="24"/>
          <w:szCs w:val="24"/>
          <w:bdr w:val="none" w:color="auto" w:sz="0" w:space="0"/>
          <w:shd w:val="clear" w:fill="FFFFFF"/>
        </w:rPr>
        <w:t>学员们将在美国度过为期两周的学习。第一周将在享有“世界领先智库”布鲁金斯学会进行住读学习。在此期间，学员们将就“世界主要经济区域运营风险的挑战和机遇”的话题进行讨论。其他涉及的话题还包括：美国政策的制定、中美政治经济关系以及全球管理和争端解决。 在美国第二周的学习，将在华盛顿大学奥林商学院展开。学员们将进行市场营销、客户分析和创业学的课程学习，并且完成创新项目的最终报告。整个项目的学习将在华盛顿大学毕业典礼中结束。学员们同美国的同学一起参加毕业典礼，庆祝学业的最终完成。</w:t>
      </w:r>
    </w:p>
    <w:p>
      <w:pPr>
        <w:rPr>
          <w:rFonts w:hint="eastAsia" w:ascii="微软雅黑" w:hAnsi="微软雅黑" w:eastAsia="微软雅黑" w:cs="微软雅黑"/>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Libre Baskerville">
    <w:altName w:val="魂心"/>
    <w:panose1 w:val="00000000000000000000"/>
    <w:charset w:val="00"/>
    <w:family w:val="auto"/>
    <w:pitch w:val="default"/>
    <w:sig w:usb0="00000000" w:usb1="00000000" w:usb2="00000000" w:usb3="00000000" w:csb0="00000000" w:csb1="00000000"/>
  </w:font>
  <w:font w:name="魂心">
    <w:panose1 w:val="02000009000000000000"/>
    <w:charset w:val="80"/>
    <w:family w:val="auto"/>
    <w:pitch w:val="default"/>
    <w:sig w:usb0="A1007AEF" w:usb1="F9DF7CFB" w:usb2="0000001E" w:usb3="00000000" w:csb0="2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384D30"/>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7">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5">
    <w:name w:val="Normal (Web)"/>
    <w:basedOn w:val="1"/>
    <w:uiPriority w:val="0"/>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2020-12-04T07:53:10Z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