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left w:w="0" w:type="dxa"/>
          <w:right w:w="0" w:type="dxa"/>
        </w:tblCellMar>
        <w:tblLook w:val="04A0" w:firstRow="1" w:lastRow="0" w:firstColumn="1" w:lastColumn="0" w:noHBand="0" w:noVBand="1"/>
      </w:tblPr>
      <w:tblGrid>
        <w:gridCol w:w="8306"/>
      </w:tblGrid>
      <w:tr w:rsidR="00825311" w:rsidRPr="00825311">
        <w:trPr>
          <w:tblCellSpacing w:w="0" w:type="dxa"/>
        </w:trPr>
        <w:tc>
          <w:tcPr>
            <w:tcW w:w="0" w:type="auto"/>
            <w:vAlign w:val="center"/>
            <w:hideMark/>
          </w:tcPr>
          <w:p w:rsidR="00825311" w:rsidRPr="00825311" w:rsidRDefault="00825311" w:rsidP="00825311">
            <w:pPr>
              <w:widowControl/>
              <w:jc w:val="center"/>
              <w:rPr>
                <w:rFonts w:ascii="宋体" w:eastAsia="宋体" w:hAnsi="宋体" w:cs="宋体"/>
                <w:b/>
                <w:bCs/>
                <w:kern w:val="0"/>
                <w:sz w:val="24"/>
                <w:szCs w:val="24"/>
              </w:rPr>
            </w:pPr>
          </w:p>
        </w:tc>
      </w:tr>
      <w:tr w:rsidR="00825311" w:rsidRPr="00825311">
        <w:trPr>
          <w:tblCellSpacing w:w="0" w:type="dxa"/>
        </w:trPr>
        <w:tc>
          <w:tcPr>
            <w:tcW w:w="0" w:type="auto"/>
            <w:vAlign w:val="center"/>
            <w:hideMark/>
          </w:tcPr>
          <w:p w:rsidR="00825311" w:rsidRPr="00825311" w:rsidRDefault="00825311" w:rsidP="00825311">
            <w:pPr>
              <w:widowControl/>
              <w:spacing w:before="100" w:beforeAutospacing="1" w:after="100" w:afterAutospacing="1" w:line="360" w:lineRule="auto"/>
              <w:jc w:val="center"/>
              <w:rPr>
                <w:rFonts w:ascii="宋体" w:eastAsia="宋体" w:hAnsi="宋体" w:cs="宋体" w:hint="eastAsia"/>
                <w:kern w:val="0"/>
                <w:sz w:val="30"/>
                <w:szCs w:val="30"/>
              </w:rPr>
            </w:pPr>
            <w:r w:rsidRPr="00825311">
              <w:rPr>
                <w:rFonts w:ascii="宋体" w:eastAsia="宋体" w:hAnsi="宋体" w:cs="宋体" w:hint="eastAsia"/>
                <w:b/>
                <w:bCs/>
                <w:kern w:val="0"/>
                <w:sz w:val="30"/>
                <w:szCs w:val="30"/>
              </w:rPr>
              <w:t>天津财经大学2018年MBA双证项目招生简章</w:t>
            </w:r>
          </w:p>
          <w:p w:rsidR="00825311" w:rsidRPr="00825311" w:rsidRDefault="00825311" w:rsidP="00825311">
            <w:pPr>
              <w:widowControl/>
              <w:spacing w:before="240" w:after="240" w:line="360" w:lineRule="auto"/>
              <w:ind w:firstLine="480"/>
              <w:jc w:val="left"/>
              <w:outlineLvl w:val="2"/>
              <w:rPr>
                <w:rFonts w:ascii="宋体" w:eastAsia="宋体" w:hAnsi="宋体" w:cs="宋体" w:hint="eastAsia"/>
                <w:b/>
                <w:bCs/>
                <w:kern w:val="0"/>
                <w:sz w:val="24"/>
                <w:szCs w:val="24"/>
              </w:rPr>
            </w:pPr>
            <w:bookmarkStart w:id="0" w:name="_Toc490304136"/>
            <w:r w:rsidRPr="00825311">
              <w:rPr>
                <w:rFonts w:ascii="楷体" w:eastAsia="楷体" w:hAnsi="楷体" w:cs="宋体" w:hint="eastAsia"/>
                <w:b/>
                <w:bCs/>
                <w:color w:val="000000"/>
                <w:kern w:val="0"/>
                <w:sz w:val="27"/>
                <w:szCs w:val="27"/>
              </w:rPr>
              <w:t>天津财经大学创立于1958年，是以南开大学经济类专业为基础，从华北、东北等地区高校汇聚一批经济学领域享有盛誉的名师组建起来的，也是新中国最早建立的财经大学之一。</w:t>
            </w:r>
            <w:bookmarkEnd w:id="0"/>
            <w:r w:rsidRPr="00825311">
              <w:rPr>
                <w:rFonts w:ascii="宋体" w:eastAsia="宋体" w:hAnsi="宋体" w:cs="宋体"/>
                <w:b/>
                <w:bCs/>
                <w:kern w:val="0"/>
                <w:sz w:val="24"/>
                <w:szCs w:val="24"/>
              </w:rPr>
              <w:t xml:space="preserve">  </w:t>
            </w:r>
          </w:p>
          <w:p w:rsidR="00825311" w:rsidRPr="00825311" w:rsidRDefault="00825311" w:rsidP="00825311">
            <w:pPr>
              <w:widowControl/>
              <w:spacing w:before="75" w:after="75" w:line="315" w:lineRule="atLeast"/>
              <w:ind w:firstLine="555"/>
              <w:jc w:val="left"/>
              <w:outlineLvl w:val="2"/>
              <w:rPr>
                <w:rFonts w:ascii="宋体" w:eastAsia="宋体" w:hAnsi="宋体" w:cs="宋体"/>
                <w:b/>
                <w:bCs/>
                <w:kern w:val="0"/>
                <w:sz w:val="24"/>
                <w:szCs w:val="24"/>
              </w:rPr>
            </w:pPr>
            <w:r w:rsidRPr="00825311">
              <w:rPr>
                <w:rFonts w:ascii="楷体" w:eastAsia="楷体" w:hAnsi="楷体" w:cs="宋体" w:hint="eastAsia"/>
                <w:b/>
                <w:bCs/>
                <w:kern w:val="0"/>
                <w:sz w:val="27"/>
                <w:szCs w:val="27"/>
              </w:rPr>
              <w:t>天津财经大学经过近60年的建设和发展，成为以管理和经济学学科为主干，兼有文学、法学、理学、工学、教育学、艺术学等八大学科门类交叉渗透、协调发展的</w:t>
            </w:r>
            <w:bookmarkStart w:id="1" w:name="_GoBack"/>
            <w:bookmarkEnd w:id="1"/>
            <w:r w:rsidRPr="00825311">
              <w:rPr>
                <w:rFonts w:ascii="楷体" w:eastAsia="楷体" w:hAnsi="楷体" w:cs="宋体" w:hint="eastAsia"/>
                <w:b/>
                <w:bCs/>
                <w:kern w:val="0"/>
                <w:sz w:val="27"/>
                <w:szCs w:val="27"/>
              </w:rPr>
              <w:t>综合性多学科大学。天津财经大学现有"应用经济学"、"工商管理"、"管理科学与工程"等3个一级学科博士学位授权点、3个博士后科研流动站，覆盖21个二级学科博士学位授权点；拥有7个一级学科硕士学位授权点，覆盖46个二级学科硕士学位授权点和13个专业硕士学位授权点，48个本科专业，形成了包括博士生、硕士生、本科生教育、以及层次齐全、形式多样的成人教育、留学生教育、从业资格培训等在内完善的人才培养序列。</w:t>
            </w:r>
            <w:r w:rsidRPr="00825311">
              <w:rPr>
                <w:rFonts w:ascii="宋体" w:eastAsia="宋体" w:hAnsi="宋体" w:cs="宋体"/>
                <w:b/>
                <w:bCs/>
                <w:kern w:val="0"/>
                <w:sz w:val="24"/>
                <w:szCs w:val="24"/>
              </w:rPr>
              <w:t xml:space="preserve">   </w:t>
            </w:r>
          </w:p>
          <w:p w:rsidR="00825311" w:rsidRPr="00825311" w:rsidRDefault="00825311" w:rsidP="00825311">
            <w:pPr>
              <w:widowControl/>
              <w:spacing w:before="240" w:after="240" w:line="360" w:lineRule="auto"/>
              <w:ind w:firstLine="480"/>
              <w:jc w:val="left"/>
              <w:outlineLvl w:val="2"/>
              <w:rPr>
                <w:rFonts w:ascii="宋体" w:eastAsia="宋体" w:hAnsi="宋体" w:cs="宋体"/>
                <w:b/>
                <w:bCs/>
                <w:kern w:val="0"/>
                <w:sz w:val="24"/>
                <w:szCs w:val="24"/>
              </w:rPr>
            </w:pPr>
            <w:r w:rsidRPr="00825311">
              <w:rPr>
                <w:rFonts w:ascii="Calibri" w:eastAsia="楷体" w:hAnsi="Calibri" w:cs="Calibri"/>
                <w:b/>
                <w:bCs/>
                <w:kern w:val="0"/>
                <w:sz w:val="27"/>
                <w:szCs w:val="27"/>
              </w:rPr>
              <w:t> </w:t>
            </w:r>
            <w:r w:rsidRPr="00825311">
              <w:rPr>
                <w:rFonts w:ascii="楷体" w:eastAsia="楷体" w:hAnsi="楷体" w:cs="宋体" w:hint="eastAsia"/>
                <w:b/>
                <w:bCs/>
                <w:kern w:val="0"/>
                <w:sz w:val="27"/>
                <w:szCs w:val="27"/>
              </w:rPr>
              <w:t>学校坚持对外开放，走国际化战略办学道路。经国务院学位办批准，并经美国中北地区教育评估委员会实地考察评估后正式确认，学校成为我国最早拥有与国外合作举办学历教育并授予美国MBA学位资格的院校之一。</w:t>
            </w:r>
            <w:r w:rsidRPr="00825311">
              <w:rPr>
                <w:rFonts w:ascii="楷体" w:eastAsia="楷体" w:hAnsi="楷体" w:cs="宋体" w:hint="eastAsia"/>
                <w:b/>
                <w:bCs/>
                <w:kern w:val="0"/>
                <w:sz w:val="36"/>
                <w:szCs w:val="36"/>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1996年，天津财经大学成为MBA和同等学力硕士授予权单位。2009年，天津财经大学成为EMBA教育项目办学权。</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lastRenderedPageBreak/>
              <w:t>一、使命</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天津财经大学MBA教育中心的使命为：</w:t>
            </w:r>
            <w:proofErr w:type="gramStart"/>
            <w:r w:rsidRPr="00825311">
              <w:rPr>
                <w:rFonts w:ascii="楷体" w:eastAsia="楷体" w:hAnsi="楷体" w:cs="宋体" w:hint="eastAsia"/>
                <w:kern w:val="0"/>
                <w:sz w:val="27"/>
                <w:szCs w:val="27"/>
              </w:rPr>
              <w:t>探索商</w:t>
            </w:r>
            <w:proofErr w:type="gramEnd"/>
            <w:r w:rsidRPr="00825311">
              <w:rPr>
                <w:rFonts w:ascii="楷体" w:eastAsia="楷体" w:hAnsi="楷体" w:cs="宋体" w:hint="eastAsia"/>
                <w:kern w:val="0"/>
                <w:sz w:val="27"/>
                <w:szCs w:val="27"/>
              </w:rPr>
              <w:t>学、应用导向，专注财经、通专结合、服务社会。</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（1）</w:t>
            </w:r>
            <w:proofErr w:type="gramStart"/>
            <w:r w:rsidRPr="00825311">
              <w:rPr>
                <w:rFonts w:ascii="楷体" w:eastAsia="楷体" w:hAnsi="楷体" w:cs="宋体" w:hint="eastAsia"/>
                <w:kern w:val="0"/>
                <w:sz w:val="27"/>
                <w:szCs w:val="27"/>
              </w:rPr>
              <w:t>探索商</w:t>
            </w:r>
            <w:proofErr w:type="gramEnd"/>
            <w:r w:rsidRPr="00825311">
              <w:rPr>
                <w:rFonts w:ascii="楷体" w:eastAsia="楷体" w:hAnsi="楷体" w:cs="宋体" w:hint="eastAsia"/>
                <w:kern w:val="0"/>
                <w:sz w:val="27"/>
                <w:szCs w:val="27"/>
              </w:rPr>
              <w:t>学：紧扣商学理论研究前沿，探索专业课程群体系。</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（2）应用导向：</w:t>
            </w:r>
            <w:proofErr w:type="gramStart"/>
            <w:r w:rsidRPr="00825311">
              <w:rPr>
                <w:rFonts w:ascii="楷体" w:eastAsia="楷体" w:hAnsi="楷体" w:cs="宋体" w:hint="eastAsia"/>
                <w:kern w:val="0"/>
                <w:sz w:val="27"/>
                <w:szCs w:val="27"/>
              </w:rPr>
              <w:t>立足商</w:t>
            </w:r>
            <w:proofErr w:type="gramEnd"/>
            <w:r w:rsidRPr="00825311">
              <w:rPr>
                <w:rFonts w:ascii="楷体" w:eastAsia="楷体" w:hAnsi="楷体" w:cs="宋体" w:hint="eastAsia"/>
                <w:kern w:val="0"/>
                <w:sz w:val="27"/>
                <w:szCs w:val="27"/>
              </w:rPr>
              <w:t>学教育的应用导向，构建实务</w:t>
            </w:r>
            <w:proofErr w:type="gramStart"/>
            <w:r w:rsidRPr="00825311">
              <w:rPr>
                <w:rFonts w:ascii="楷体" w:eastAsia="楷体" w:hAnsi="楷体" w:cs="宋体" w:hint="eastAsia"/>
                <w:kern w:val="0"/>
                <w:sz w:val="27"/>
                <w:szCs w:val="27"/>
              </w:rPr>
              <w:t>性培养</w:t>
            </w:r>
            <w:proofErr w:type="gramEnd"/>
            <w:r w:rsidRPr="00825311">
              <w:rPr>
                <w:rFonts w:ascii="楷体" w:eastAsia="楷体" w:hAnsi="楷体" w:cs="宋体" w:hint="eastAsia"/>
                <w:kern w:val="0"/>
                <w:sz w:val="27"/>
                <w:szCs w:val="27"/>
              </w:rPr>
              <w:t>体系。</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（3）专注财经：发挥财经类学科优势，打造特色专业方向。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（4）通专结合：坚持通识教育中的专业能力提升，培育专家型的管理人才。</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（5）服务社会：遵循实践人才需要，为社会经济和企业发展服务。</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二、价值观</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三省吾身</w:t>
            </w:r>
            <w:r w:rsidRPr="00825311">
              <w:rPr>
                <w:rFonts w:ascii="楷体" w:eastAsia="楷体" w:hAnsi="楷体" w:cs="宋体" w:hint="eastAsia"/>
                <w:kern w:val="0"/>
                <w:sz w:val="27"/>
                <w:szCs w:val="27"/>
              </w:rPr>
              <w:t>，出自《论语.学而》“吾日三省吾身，为人谋而不中乎”。</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三、愿景</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建设成为特色突出，国内知名的MBA教育机构。</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lastRenderedPageBreak/>
              <w:t>四、弹簧式的培训方案设计</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left="105" w:firstLine="495"/>
              <w:jc w:val="left"/>
              <w:rPr>
                <w:rFonts w:ascii="宋体" w:eastAsia="宋体" w:hAnsi="宋体" w:cs="宋体"/>
                <w:kern w:val="0"/>
                <w:sz w:val="24"/>
                <w:szCs w:val="24"/>
              </w:rPr>
            </w:pPr>
            <w:r w:rsidRPr="00825311">
              <w:rPr>
                <w:rFonts w:ascii="楷体" w:eastAsia="楷体" w:hAnsi="楷体" w:cs="宋体" w:hint="eastAsia"/>
                <w:kern w:val="0"/>
                <w:sz w:val="27"/>
                <w:szCs w:val="27"/>
              </w:rPr>
              <w:t>“弹簧式”的培养方案设计是依据MBA教育的特点和培养目标，以达到培养全球战略眼光、创新精神和实践管理能力与技巧兼具的商界精英和职业管理人才的目标为衡量依据。在设计培养方案是将管理理论、管理实务和专业特色方向三者有效融合，互相促进，形成一个动态演进的过程。遵循“管理理念——</w:t>
            </w:r>
            <w:proofErr w:type="gramStart"/>
            <w:r w:rsidRPr="00825311">
              <w:rPr>
                <w:rFonts w:ascii="楷体" w:eastAsia="楷体" w:hAnsi="楷体" w:cs="宋体" w:hint="eastAsia"/>
                <w:kern w:val="0"/>
                <w:sz w:val="27"/>
                <w:szCs w:val="27"/>
              </w:rPr>
              <w:t>—</w:t>
            </w:r>
            <w:proofErr w:type="gramEnd"/>
            <w:r w:rsidRPr="00825311">
              <w:rPr>
                <w:rFonts w:ascii="楷体" w:eastAsia="楷体" w:hAnsi="楷体" w:cs="宋体" w:hint="eastAsia"/>
                <w:kern w:val="0"/>
                <w:sz w:val="27"/>
                <w:szCs w:val="27"/>
              </w:rPr>
              <w:t>管理方法——</w:t>
            </w:r>
            <w:proofErr w:type="gramStart"/>
            <w:r w:rsidRPr="00825311">
              <w:rPr>
                <w:rFonts w:ascii="楷体" w:eastAsia="楷体" w:hAnsi="楷体" w:cs="宋体" w:hint="eastAsia"/>
                <w:kern w:val="0"/>
                <w:sz w:val="27"/>
                <w:szCs w:val="27"/>
              </w:rPr>
              <w:t>—</w:t>
            </w:r>
            <w:proofErr w:type="gramEnd"/>
            <w:r w:rsidRPr="00825311">
              <w:rPr>
                <w:rFonts w:ascii="楷体" w:eastAsia="楷体" w:hAnsi="楷体" w:cs="宋体" w:hint="eastAsia"/>
                <w:kern w:val="0"/>
                <w:sz w:val="27"/>
                <w:szCs w:val="27"/>
              </w:rPr>
              <w:t>应用能力”的培养思路，有效融合“实践问题—知识—实践”的培养过程</w:t>
            </w:r>
            <w:r w:rsidRPr="00825311">
              <w:rPr>
                <w:rFonts w:ascii="楷体" w:eastAsia="楷体" w:hAnsi="楷体" w:cs="宋体" w:hint="eastAsia"/>
                <w:color w:val="008000"/>
                <w:kern w:val="0"/>
                <w:sz w:val="27"/>
                <w:szCs w:val="27"/>
              </w:rPr>
              <w:t>，</w:t>
            </w:r>
            <w:r w:rsidRPr="00825311">
              <w:rPr>
                <w:rFonts w:ascii="楷体" w:eastAsia="楷体" w:hAnsi="楷体" w:cs="宋体" w:hint="eastAsia"/>
                <w:kern w:val="0"/>
                <w:sz w:val="27"/>
                <w:szCs w:val="27"/>
              </w:rPr>
              <w:t>如图1.1所示。三者形成的合力以“弹簧式”的结构发挥出来，以实现MBA教育培养目标。</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楷体" w:eastAsia="楷体" w:hAnsi="楷体" w:cs="宋体"/>
                <w:noProof/>
                <w:kern w:val="0"/>
                <w:sz w:val="24"/>
                <w:szCs w:val="24"/>
              </w:rPr>
              <w:drawing>
                <wp:inline distT="0" distB="0" distL="0" distR="0">
                  <wp:extent cx="4572000" cy="3505200"/>
                  <wp:effectExtent l="0" t="0" r="0" b="0"/>
                  <wp:docPr id="3" name="图片 3" descr="http://mba.tjufe.edu.cn/__local/1/FF/93/969364139ABFDF096BB30020F73_C39A49BD_31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1E" descr="http://mba.tjufe.edu.cn/__local/1/FF/93/969364139ABFDF096BB30020F73_C39A49BD_311E.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0" cy="3505200"/>
                          </a:xfrm>
                          <a:prstGeom prst="rect">
                            <a:avLst/>
                          </a:prstGeom>
                          <a:noFill/>
                          <a:ln>
                            <a:noFill/>
                          </a:ln>
                        </pic:spPr>
                      </pic:pic>
                    </a:graphicData>
                  </a:graphic>
                </wp:inline>
              </w:drawing>
            </w:r>
            <w:r w:rsidRPr="00825311">
              <w:rPr>
                <w:rFonts w:ascii="宋体" w:eastAsia="宋体" w:hAnsi="宋体" w:cs="宋体"/>
                <w:kern w:val="0"/>
                <w:sz w:val="24"/>
                <w:szCs w:val="24"/>
              </w:rPr>
              <w:t>  </w:t>
            </w:r>
          </w:p>
          <w:p w:rsidR="00825311" w:rsidRPr="00825311" w:rsidRDefault="00825311" w:rsidP="00825311">
            <w:pPr>
              <w:widowControl/>
              <w:spacing w:before="100" w:beforeAutospacing="1" w:after="100" w:afterAutospacing="1" w:line="360" w:lineRule="auto"/>
              <w:ind w:firstLine="2175"/>
              <w:jc w:val="left"/>
              <w:rPr>
                <w:rFonts w:ascii="宋体" w:eastAsia="宋体" w:hAnsi="宋体" w:cs="宋体"/>
                <w:kern w:val="0"/>
                <w:sz w:val="24"/>
                <w:szCs w:val="24"/>
              </w:rPr>
            </w:pP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 xml:space="preserve">图1.1 </w:t>
            </w:r>
            <w:r w:rsidRPr="00825311">
              <w:rPr>
                <w:rFonts w:ascii="Calibri" w:eastAsia="楷体" w:hAnsi="Calibri" w:cs="Calibri"/>
                <w:b/>
                <w:bCs/>
                <w:kern w:val="0"/>
                <w:sz w:val="27"/>
                <w:szCs w:val="27"/>
              </w:rPr>
              <w:t> </w:t>
            </w:r>
            <w:r w:rsidRPr="00825311">
              <w:rPr>
                <w:rFonts w:ascii="楷体" w:eastAsia="楷体" w:hAnsi="楷体" w:cs="Arial" w:hint="eastAsia"/>
                <w:b/>
                <w:bCs/>
                <w:kern w:val="0"/>
                <w:sz w:val="27"/>
                <w:szCs w:val="27"/>
              </w:rPr>
              <w:t>“弹簧式”培养方案设计</w:t>
            </w:r>
            <w:r w:rsidRPr="00825311">
              <w:rPr>
                <w:rFonts w:ascii="楷体" w:eastAsia="楷体" w:hAnsi="楷体" w:cs="Arial"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Chars="150" w:firstLine="407"/>
              <w:jc w:val="left"/>
              <w:outlineLvl w:val="2"/>
              <w:rPr>
                <w:rFonts w:ascii="宋体" w:eastAsia="宋体" w:hAnsi="宋体" w:cs="宋体"/>
                <w:b/>
                <w:bCs/>
                <w:kern w:val="0"/>
                <w:sz w:val="27"/>
                <w:szCs w:val="27"/>
              </w:rPr>
            </w:pPr>
            <w:r w:rsidRPr="00825311">
              <w:rPr>
                <w:rFonts w:ascii="楷体" w:eastAsia="楷体" w:hAnsi="楷体" w:cs="宋体" w:hint="eastAsia"/>
                <w:b/>
                <w:bCs/>
                <w:kern w:val="0"/>
                <w:sz w:val="27"/>
                <w:szCs w:val="27"/>
              </w:rPr>
              <w:lastRenderedPageBreak/>
              <w:t>五、MBA学生的培养目标</w:t>
            </w:r>
            <w:r w:rsidRPr="00825311">
              <w:rPr>
                <w:rFonts w:ascii="楷体" w:eastAsia="楷体" w:hAnsi="楷体" w:cs="宋体" w:hint="eastAsia"/>
                <w:b/>
                <w:bCs/>
                <w:kern w:val="0"/>
                <w:sz w:val="27"/>
                <w:szCs w:val="24"/>
              </w:rPr>
              <w:t xml:space="preserve"> </w:t>
            </w:r>
          </w:p>
          <w:p w:rsidR="00825311" w:rsidRPr="00825311" w:rsidRDefault="00825311" w:rsidP="00825311">
            <w:pPr>
              <w:widowControl/>
              <w:spacing w:before="100" w:beforeAutospacing="1" w:after="100" w:afterAutospacing="1" w:line="360" w:lineRule="auto"/>
              <w:ind w:firstLine="480"/>
              <w:jc w:val="left"/>
              <w:rPr>
                <w:rFonts w:ascii="宋体" w:eastAsia="宋体" w:hAnsi="宋体" w:cs="宋体" w:hint="eastAsia"/>
                <w:kern w:val="0"/>
                <w:sz w:val="24"/>
                <w:szCs w:val="24"/>
              </w:rPr>
            </w:pPr>
            <w:r w:rsidRPr="00825311">
              <w:rPr>
                <w:rFonts w:ascii="楷体" w:eastAsia="楷体" w:hAnsi="楷体" w:cs="宋体" w:hint="eastAsia"/>
                <w:kern w:val="0"/>
                <w:sz w:val="27"/>
                <w:szCs w:val="27"/>
              </w:rPr>
              <w:t>MBA项目依托学校财经类教育方面的优势，致力于培养掌握现代管理理论与方法，精通财经类专业知识和技能，具备创新精神和社会责任感的企业财经业务骨干和管理人员。</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Chars="150" w:firstLine="407"/>
              <w:jc w:val="left"/>
              <w:outlineLvl w:val="2"/>
              <w:rPr>
                <w:rFonts w:ascii="宋体" w:eastAsia="宋体" w:hAnsi="宋体" w:cs="宋体"/>
                <w:b/>
                <w:bCs/>
                <w:kern w:val="0"/>
                <w:sz w:val="27"/>
                <w:szCs w:val="27"/>
              </w:rPr>
            </w:pPr>
            <w:r w:rsidRPr="00825311">
              <w:rPr>
                <w:rFonts w:ascii="楷体" w:eastAsia="楷体" w:hAnsi="楷体" w:cs="宋体" w:hint="eastAsia"/>
                <w:b/>
                <w:bCs/>
                <w:kern w:val="0"/>
                <w:sz w:val="27"/>
                <w:szCs w:val="27"/>
              </w:rPr>
              <w:t>六、 MBA课程体系</w:t>
            </w:r>
            <w:r w:rsidRPr="00825311">
              <w:rPr>
                <w:rFonts w:ascii="楷体" w:eastAsia="楷体" w:hAnsi="楷体" w:cs="宋体" w:hint="eastAsia"/>
                <w:b/>
                <w:bCs/>
                <w:kern w:val="0"/>
                <w:sz w:val="27"/>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hint="eastAsia"/>
                <w:kern w:val="0"/>
                <w:sz w:val="24"/>
                <w:szCs w:val="24"/>
              </w:rPr>
            </w:pPr>
            <w:r w:rsidRPr="00825311">
              <w:rPr>
                <w:rFonts w:ascii="楷体" w:eastAsia="楷体" w:hAnsi="楷体" w:cs="宋体" w:hint="eastAsia"/>
                <w:kern w:val="0"/>
                <w:sz w:val="27"/>
                <w:szCs w:val="27"/>
              </w:rPr>
              <w:t>MBA教育中心依托学校财经类和管理类雄厚的教学与科研实力，通过MBA研究生课程体系的不断建设和培养方向的凝练，形成了一整套具有天津财经大学特色的MBA课程体系。</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Chars="750" w:firstLine="2025"/>
              <w:jc w:val="left"/>
              <w:rPr>
                <w:rFonts w:ascii="宋体" w:eastAsia="宋体" w:hAnsi="宋体" w:cs="宋体"/>
                <w:kern w:val="0"/>
                <w:sz w:val="24"/>
                <w:szCs w:val="24"/>
              </w:rPr>
            </w:pPr>
            <w:r w:rsidRPr="00825311">
              <w:rPr>
                <w:rFonts w:ascii="Times New Roman" w:eastAsia="宋体" w:hAnsi="Times New Roman" w:cs="Times New Roman"/>
                <w:kern w:val="0"/>
                <w:sz w:val="27"/>
                <w:szCs w:val="27"/>
              </w:rPr>
              <w:lastRenderedPageBreak/>
              <w:t xml:space="preserve">                    </w:t>
            </w:r>
            <w:r w:rsidRPr="00825311">
              <w:rPr>
                <w:rFonts w:ascii="宋体" w:eastAsia="宋体" w:hAnsi="宋体" w:cs="宋体"/>
                <w:noProof/>
                <w:kern w:val="0"/>
                <w:szCs w:val="21"/>
              </w:rPr>
              <w:drawing>
                <wp:inline distT="0" distB="0" distL="0" distR="0">
                  <wp:extent cx="4572000" cy="4933950"/>
                  <wp:effectExtent l="0" t="0" r="0" b="0"/>
                  <wp:docPr id="2" name="图片 2" descr="http://mba.tjufe.edu.cn/__local/4/9F/B4/54DE32E2EBFABE57A207FC37E16_C55C39D4_5A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ADB" descr="http://mba.tjufe.edu.cn/__local/4/9F/B4/54DE32E2EBFABE57A207FC37E16_C55C39D4_5ADB.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4933950"/>
                          </a:xfrm>
                          <a:prstGeom prst="rect">
                            <a:avLst/>
                          </a:prstGeom>
                          <a:noFill/>
                          <a:ln>
                            <a:noFill/>
                          </a:ln>
                        </pic:spPr>
                      </pic:pic>
                    </a:graphicData>
                  </a:graphic>
                </wp:inline>
              </w:drawing>
            </w:r>
            <w:r w:rsidRPr="00825311">
              <w:rPr>
                <w:rFonts w:ascii="宋体" w:eastAsia="宋体" w:hAnsi="宋体" w:cs="宋体"/>
                <w:kern w:val="0"/>
                <w:sz w:val="24"/>
                <w:szCs w:val="24"/>
              </w:rPr>
              <w:br/>
              <w:t>  </w:t>
            </w:r>
          </w:p>
          <w:p w:rsidR="00825311" w:rsidRPr="00825311" w:rsidRDefault="00825311" w:rsidP="00825311">
            <w:pPr>
              <w:widowControl/>
              <w:spacing w:before="100" w:beforeAutospacing="1" w:after="100" w:afterAutospacing="1" w:line="360" w:lineRule="auto"/>
              <w:ind w:firstLineChars="1550" w:firstLine="4185"/>
              <w:jc w:val="left"/>
              <w:rPr>
                <w:rFonts w:ascii="宋体" w:eastAsia="宋体" w:hAnsi="宋体" w:cs="宋体"/>
                <w:kern w:val="0"/>
                <w:sz w:val="24"/>
                <w:szCs w:val="24"/>
              </w:rPr>
            </w:pPr>
            <w:r w:rsidRPr="00825311">
              <w:rPr>
                <w:rFonts w:ascii="宋体" w:eastAsia="宋体" w:hAnsi="宋体" w:cs="宋体"/>
                <w:kern w:val="0"/>
                <w:sz w:val="27"/>
                <w:szCs w:val="27"/>
              </w:rPr>
              <w:t>                  1.2   MBA课程体系</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为达成培养目标，天津财经大学将MBA课程分为：学位课程模块、经济管理理论课模块、管理专业知识模块、专业选修课模块、公共选修课模块和整合实践模块。</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Chars="150" w:firstLine="407"/>
              <w:jc w:val="left"/>
              <w:outlineLvl w:val="2"/>
              <w:rPr>
                <w:rFonts w:ascii="宋体" w:eastAsia="宋体" w:hAnsi="宋体" w:cs="宋体"/>
                <w:b/>
                <w:bCs/>
                <w:kern w:val="0"/>
                <w:sz w:val="27"/>
                <w:szCs w:val="27"/>
              </w:rPr>
            </w:pPr>
            <w:r w:rsidRPr="00825311">
              <w:rPr>
                <w:rFonts w:ascii="楷体" w:eastAsia="楷体" w:hAnsi="楷体" w:cs="宋体" w:hint="eastAsia"/>
                <w:b/>
                <w:bCs/>
                <w:kern w:val="0"/>
                <w:sz w:val="27"/>
                <w:szCs w:val="27"/>
              </w:rPr>
              <w:t>七、专业特色方向</w:t>
            </w:r>
            <w:r w:rsidRPr="00825311">
              <w:rPr>
                <w:rFonts w:ascii="楷体" w:eastAsia="楷体" w:hAnsi="楷体" w:cs="宋体" w:hint="eastAsia"/>
                <w:b/>
                <w:bCs/>
                <w:kern w:val="0"/>
                <w:sz w:val="27"/>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hint="eastAsia"/>
                <w:kern w:val="0"/>
                <w:sz w:val="24"/>
                <w:szCs w:val="24"/>
              </w:rPr>
            </w:pPr>
            <w:r w:rsidRPr="00825311">
              <w:rPr>
                <w:rFonts w:ascii="楷体" w:eastAsia="楷体" w:hAnsi="楷体" w:cs="宋体" w:hint="eastAsia"/>
                <w:kern w:val="0"/>
                <w:sz w:val="27"/>
                <w:szCs w:val="27"/>
              </w:rPr>
              <w:lastRenderedPageBreak/>
              <w:t>MBA项目的培养计划涵盖了工商企业管理领域内所需知识的基本课程，在此基础上，结合财经类学科特点，和工商管理学与应用经济学两个一级学科优势，按照“通”、“专”结合的设计思路，确定了培养财经类管理者的专业特色方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1. 企业管理方向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企业管理方向是为在制造业和服务业从事管理工作的MBA学生提高其管理素质、能力而设。该方向包括两个子方向：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（1）公司治理。公司治理是股东对经营者的一种监督与制衡机制，涉及利益相关者，培养学生如何带领、管理及控制公司。课程包括：投资者管理、公司金融、企业并购、公司、资本市场。</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（2）创新与创业：对学生创新创业意识及精神、创新创业知识和实践能力的全方位培养。课程包括：创业经济学、创业与创新管理、风险管理、创新与企业家精神、商业企划书。</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3）企业管理综合（Part-Time）：根据企业管理活动的不同层次，企业管理方向采用了基础性、综合性、成长性的标准进行课程设置，包括：市场调查与研究、市场营销策划、企业管理问题诊断、项目管理、企业资源规划、电子商务。</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 公司理财方向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lastRenderedPageBreak/>
              <w:t>公司理财方向是为致力于从事企业财务管理、会计工作的MBA学生提高专业理论、能力和技巧而设，注重培养学生掌握现代财务、会计及资本运营前沿理论、方法与技术，成为公司资本运营层面财务分析专业人才。该方向包括两个子方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1）财务管理子方向：财务管理子方向研究如何通过计划、决策、控制、考核、监督等管理活动对资金运动进行管理，以提高资金效益；主要探索企业的资金需要、资金筹措和资金调控。课程包括：财务分析、财务估价、风险管理；</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管理会计子方向：管理会计是管理科学与会计科学相互渗透的一个方向，主要是研究如何适应企业内部管理需要，对财务会计提供的资料及相关信息进行量化分析，利用专门的方法进行企业资源的科学决策。课程包括：企业内控、管理会计、业绩评价。</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3. 金融管理方向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金融管理方向是为来自于金融业或对金融业有兴趣的</w:t>
            </w:r>
            <w:proofErr w:type="gramStart"/>
            <w:r w:rsidRPr="00825311">
              <w:rPr>
                <w:rFonts w:ascii="楷体" w:eastAsia="楷体" w:hAnsi="楷体" w:cs="宋体" w:hint="eastAsia"/>
                <w:kern w:val="0"/>
                <w:sz w:val="27"/>
                <w:szCs w:val="27"/>
              </w:rPr>
              <w:t>的</w:t>
            </w:r>
            <w:proofErr w:type="gramEnd"/>
            <w:r w:rsidRPr="00825311">
              <w:rPr>
                <w:rFonts w:ascii="楷体" w:eastAsia="楷体" w:hAnsi="楷体" w:cs="宋体" w:hint="eastAsia"/>
                <w:kern w:val="0"/>
                <w:sz w:val="27"/>
                <w:szCs w:val="27"/>
              </w:rPr>
              <w:t>学生而设置，注重培养学生掌握现代金融前沿知识，熟悉金融业务实</w:t>
            </w:r>
            <w:proofErr w:type="gramStart"/>
            <w:r w:rsidRPr="00825311">
              <w:rPr>
                <w:rFonts w:ascii="楷体" w:eastAsia="楷体" w:hAnsi="楷体" w:cs="宋体" w:hint="eastAsia"/>
                <w:kern w:val="0"/>
                <w:sz w:val="27"/>
                <w:szCs w:val="27"/>
              </w:rPr>
              <w:t>务</w:t>
            </w:r>
            <w:proofErr w:type="gramEnd"/>
            <w:r w:rsidRPr="00825311">
              <w:rPr>
                <w:rFonts w:ascii="楷体" w:eastAsia="楷体" w:hAnsi="楷体" w:cs="宋体" w:hint="eastAsia"/>
                <w:kern w:val="0"/>
                <w:sz w:val="27"/>
                <w:szCs w:val="27"/>
              </w:rPr>
              <w:t>的业务人才。子方向如下：</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（1）风险管理子方向：研究风险发生规律和风险控制技术，主要探讨风险感知、风险识别、风险分析、风险衡量、风险控制、风险管理决策，以及如何对风险实施有效的控制和妥善处理所致损失后果等</w:t>
            </w:r>
            <w:r w:rsidRPr="00825311">
              <w:rPr>
                <w:rFonts w:ascii="楷体" w:eastAsia="楷体" w:hAnsi="楷体" w:cs="宋体" w:hint="eastAsia"/>
                <w:kern w:val="0"/>
                <w:sz w:val="27"/>
                <w:szCs w:val="27"/>
              </w:rPr>
              <w:lastRenderedPageBreak/>
              <w:t>问题。课程包括：公司金融学、金融数据分析与建模、风险模型与技术；</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信用管理子方向：基于信用管理框架，主要探索信用管理的内涵与意义，社会信用管理体系和征信，信用政策的运用与评价，政府、企业、金融机构和个人面临的信用风险及如何有效管理风险，阐述信用管理理论和方法。课程包括：信用风险、信用评级、金融时间序列分析；</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（3）互联网金融子方向（Part-Time）：整合互联网思维与金融创新，详细探究互联网金融的技术实现、操作环节、创新模式等。课程包括：公司金融、投资学、风险管理、电子商务、互联网金融与大数据分析。</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八、招生计划</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预计160人，具体招生人数可根据具体情况进行适当调整。</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九、学 费</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2018年学费拟定为6.75万元</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特别说明：学费可能会因各种因素有所调整，最终以天津市物价部门核准的学费标准为准。</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十、报名条件</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lastRenderedPageBreak/>
              <w:t>1. 中华人民共和国公民；</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 拥护中国共产党的领导，品德良好，遵纪守法；</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3. 大学本科毕业后有三年及以上工作经历（2015年9月1日前获得毕业证书），或研究生毕业后有两年及以上工作经历（2016年9月1日前获得学位证书），或获得国家承认的高职高专毕业学历有五年及以上工作经历（2013年9月1日前获得毕业证书）并达到与大学本科毕业生同等学力的人员;</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4. 身体健康状况符合国家和招生单位规定的体检要求。</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 xml:space="preserve">十一、初试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参加教育部统一组织的全国联考，考试科目为：英语（满分值100分）、管理类联考综合能力（满分值200分）。</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网上报名时间：2017年10月；现场确认时间：2017年11月；考试时间：2017年12月。</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详情请届时关注中国研究生招生信息网（http://yz.chsi.com.cn/）及天津财经大学MBA教育中心网站（http://mba.tjufe.edu.cn）相关通知。</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十二、面试</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lastRenderedPageBreak/>
              <w:t>2018年MBA面试工作分为提前批次面试和正常批次复试，考生如通过提前批次面试，笔试成绩达到2018年全国硕士研究生招生考试工商管理硕士考生进入复试的初试成绩基本要求（A类线），即可取得待录取资格，不需要再参加正常批次复试。</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宋体" w:eastAsia="宋体" w:hAnsi="宋体" w:cs="宋体"/>
                <w:kern w:val="0"/>
                <w:sz w:val="27"/>
                <w:szCs w:val="27"/>
              </w:rPr>
              <w:t>                           </w:t>
            </w:r>
            <w:r w:rsidRPr="00825311">
              <w:rPr>
                <w:rFonts w:ascii="宋体" w:eastAsia="宋体" w:hAnsi="宋体" w:cs="宋体"/>
                <w:noProof/>
                <w:kern w:val="0"/>
                <w:sz w:val="24"/>
                <w:szCs w:val="24"/>
              </w:rPr>
              <w:drawing>
                <wp:inline distT="0" distB="0" distL="0" distR="0">
                  <wp:extent cx="4572000" cy="3952875"/>
                  <wp:effectExtent l="0" t="0" r="0" b="9525"/>
                  <wp:docPr id="1" name="图片 1" descr="http://mba.tjufe.edu.cn/__local/8/E1/58/B41FD05EBFDC65CFAC3923557F0_35FEA02B_E2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7A" descr="http://mba.tjufe.edu.cn/__local/8/E1/58/B41FD05EBFDC65CFAC3923557F0_35FEA02B_E27A.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952875"/>
                          </a:xfrm>
                          <a:prstGeom prst="rect">
                            <a:avLst/>
                          </a:prstGeom>
                          <a:noFill/>
                          <a:ln>
                            <a:noFill/>
                          </a:ln>
                        </pic:spPr>
                      </pic:pic>
                    </a:graphicData>
                  </a:graphic>
                </wp:inline>
              </w:drawing>
            </w:r>
            <w:r w:rsidRPr="00825311">
              <w:rPr>
                <w:rFonts w:ascii="宋体" w:eastAsia="宋体" w:hAnsi="宋体" w:cs="宋体"/>
                <w:kern w:val="0"/>
                <w:sz w:val="24"/>
                <w:szCs w:val="24"/>
              </w:rPr>
              <w:t xml:space="preserve">   </w:t>
            </w:r>
          </w:p>
          <w:p w:rsidR="00825311" w:rsidRPr="00825311" w:rsidRDefault="00825311" w:rsidP="00825311">
            <w:pPr>
              <w:widowControl/>
              <w:spacing w:before="100" w:beforeAutospacing="1" w:after="100" w:afterAutospacing="1" w:line="360" w:lineRule="auto"/>
              <w:jc w:val="left"/>
              <w:rPr>
                <w:rFonts w:ascii="宋体" w:eastAsia="宋体" w:hAnsi="宋体" w:cs="宋体"/>
                <w:kern w:val="0"/>
                <w:sz w:val="24"/>
                <w:szCs w:val="24"/>
              </w:rPr>
            </w:pP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申请参加面试流程图</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参加面试流程：</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lastRenderedPageBreak/>
              <w:t>（1）提前批次面试和正常批次复试时间安排将在MBA教育中心网站公布；</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（2）面试内容：英语能力测试、管理能力测试；</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（3）具体面试办法请关注中心网站通知；</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 xml:space="preserve">（4）面试不合格考生不予录取。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十三、录取</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根据全国统一录取分数线，按照初试、复试成绩兼顾、德智体全面衡量、择优录取的原则进行录取。</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我校MBA研究生录取类别分为定向培养和非定向培养两类：其中全日制班为非定向培养的硕士研究生，人事档案必须转入天津财经大学，户口可以自愿选择是否迁入天津财经大学，毕业后根据国家就业政策就业，按就业三方协议将档案、户口派遣到签订的就业单位。非全日制班为定向培养的硕士研究生，人事档案、户口均不迁入天津财经大学，毕业后派遣回录取时确定的定向委培单位工作。</w:t>
            </w:r>
            <w:r w:rsidRPr="00825311">
              <w:rPr>
                <w:rFonts w:ascii="楷体" w:eastAsia="楷体" w:hAnsi="楷体" w:cs="宋体" w:hint="eastAsia"/>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b/>
                <w:bCs/>
                <w:kern w:val="0"/>
                <w:sz w:val="27"/>
                <w:szCs w:val="27"/>
              </w:rPr>
              <w:t>十四、学习方式及学位授予</w:t>
            </w:r>
            <w:r w:rsidRPr="00825311">
              <w:rPr>
                <w:rFonts w:ascii="楷体" w:eastAsia="楷体" w:hAnsi="楷体" w:cs="宋体" w:hint="eastAsia"/>
                <w:b/>
                <w:bCs/>
                <w:kern w:val="0"/>
                <w:sz w:val="24"/>
                <w:szCs w:val="24"/>
              </w:rPr>
              <w:t xml:space="preserve"> </w:t>
            </w:r>
          </w:p>
          <w:p w:rsidR="00825311" w:rsidRPr="00825311" w:rsidRDefault="00825311" w:rsidP="00825311">
            <w:pPr>
              <w:widowControl/>
              <w:spacing w:before="100" w:beforeAutospacing="1" w:after="100" w:afterAutospacing="1" w:line="360" w:lineRule="auto"/>
              <w:ind w:firstLine="555"/>
              <w:jc w:val="left"/>
              <w:rPr>
                <w:rFonts w:ascii="宋体" w:eastAsia="宋体" w:hAnsi="宋体" w:cs="宋体"/>
                <w:kern w:val="0"/>
                <w:sz w:val="24"/>
                <w:szCs w:val="24"/>
              </w:rPr>
            </w:pPr>
            <w:r w:rsidRPr="00825311">
              <w:rPr>
                <w:rFonts w:ascii="楷体" w:eastAsia="楷体" w:hAnsi="楷体" w:cs="宋体" w:hint="eastAsia"/>
                <w:kern w:val="0"/>
                <w:sz w:val="27"/>
                <w:szCs w:val="27"/>
              </w:rPr>
              <w:t>学习方式分为脱产学习和在职学习两种。</w:t>
            </w:r>
            <w:r w:rsidRPr="00825311">
              <w:rPr>
                <w:rFonts w:ascii="楷体" w:eastAsia="楷体" w:hAnsi="楷体" w:cs="宋体" w:hint="eastAsia"/>
                <w:kern w:val="0"/>
                <w:sz w:val="24"/>
                <w:szCs w:val="24"/>
              </w:rPr>
              <w:br/>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1．全日制脱产MBA：学制2年，脱产在校全日制学习。</w:t>
            </w:r>
            <w:r w:rsidRPr="00825311">
              <w:rPr>
                <w:rFonts w:ascii="楷体" w:eastAsia="楷体" w:hAnsi="楷体" w:cs="宋体" w:hint="eastAsia"/>
                <w:kern w:val="0"/>
                <w:sz w:val="24"/>
                <w:szCs w:val="24"/>
              </w:rPr>
              <w:br/>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 xml:space="preserve"> </w:t>
            </w:r>
            <w:r w:rsidRPr="00825311">
              <w:rPr>
                <w:rFonts w:ascii="Calibri" w:eastAsia="楷体" w:hAnsi="Calibri" w:cs="Calibri"/>
                <w:kern w:val="0"/>
                <w:sz w:val="27"/>
                <w:szCs w:val="27"/>
              </w:rPr>
              <w:t> </w:t>
            </w:r>
            <w:r w:rsidRPr="00825311">
              <w:rPr>
                <w:rFonts w:ascii="楷体" w:eastAsia="楷体" w:hAnsi="楷体" w:cs="宋体" w:hint="eastAsia"/>
                <w:kern w:val="0"/>
                <w:sz w:val="27"/>
                <w:szCs w:val="27"/>
              </w:rPr>
              <w:t>2．非全日制在职MBA：学制2.5年，业余时间学习。可以选择周末</w:t>
            </w:r>
            <w:r w:rsidRPr="00825311">
              <w:rPr>
                <w:rFonts w:ascii="楷体" w:eastAsia="楷体" w:hAnsi="楷体" w:cs="宋体" w:hint="eastAsia"/>
                <w:kern w:val="0"/>
                <w:sz w:val="27"/>
                <w:szCs w:val="27"/>
              </w:rPr>
              <w:lastRenderedPageBreak/>
              <w:t>班或集中班两种上课方式。</w:t>
            </w:r>
            <w:r w:rsidRPr="00825311">
              <w:rPr>
                <w:rFonts w:ascii="楷体" w:eastAsia="楷体" w:hAnsi="楷体" w:cs="宋体" w:hint="eastAsia"/>
                <w:kern w:val="0"/>
                <w:sz w:val="24"/>
                <w:szCs w:val="24"/>
              </w:rPr>
              <w:br/>
            </w:r>
            <w:r w:rsidRPr="00825311">
              <w:rPr>
                <w:rFonts w:ascii="楷体" w:eastAsia="楷体" w:hAnsi="楷体" w:cs="宋体" w:hint="eastAsia"/>
                <w:kern w:val="0"/>
                <w:sz w:val="27"/>
                <w:szCs w:val="27"/>
              </w:rPr>
              <w:t xml:space="preserve">　　课程学习实行学分制，学生在规定的学习年限内（最长不能超过5年）成绩合格、修满60个学分，通过学位论文答辩，并达到毕业相关的其他要求，可获得天津财经大学工商管理硕士研究生毕业证书和学位证书。</w:t>
            </w:r>
            <w:r w:rsidRPr="00825311">
              <w:rPr>
                <w:rFonts w:ascii="楷体" w:eastAsia="楷体" w:hAnsi="楷体" w:cs="宋体" w:hint="eastAsia"/>
                <w:kern w:val="0"/>
                <w:sz w:val="24"/>
                <w:szCs w:val="24"/>
              </w:rPr>
              <w:t xml:space="preserve"> </w:t>
            </w:r>
          </w:p>
        </w:tc>
      </w:tr>
    </w:tbl>
    <w:p w:rsidR="00D46F10" w:rsidRPr="00825311" w:rsidRDefault="00D46F10"/>
    <w:sectPr w:rsidR="00D46F10" w:rsidRPr="0082531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8E1"/>
    <w:rsid w:val="00825311"/>
    <w:rsid w:val="00D46F10"/>
    <w:rsid w:val="00F22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063414-641B-4AD7-81F5-6FF76943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3">
    <w:name w:val="heading 3"/>
    <w:basedOn w:val="a"/>
    <w:link w:val="3Char"/>
    <w:uiPriority w:val="9"/>
    <w:qFormat/>
    <w:rsid w:val="00825311"/>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25311"/>
    <w:rPr>
      <w:rFonts w:ascii="宋体" w:eastAsia="宋体" w:hAnsi="宋体" w:cs="宋体"/>
      <w:b/>
      <w:bCs/>
      <w:kern w:val="0"/>
      <w:sz w:val="27"/>
      <w:szCs w:val="27"/>
    </w:rPr>
  </w:style>
  <w:style w:type="character" w:customStyle="1" w:styleId="timestyle1302481">
    <w:name w:val="timestyle1302481"/>
    <w:basedOn w:val="a0"/>
    <w:rsid w:val="00825311"/>
    <w:rPr>
      <w:sz w:val="18"/>
      <w:szCs w:val="18"/>
    </w:rPr>
  </w:style>
  <w:style w:type="character" w:customStyle="1" w:styleId="authorstyle1302481">
    <w:name w:val="authorstyle1302481"/>
    <w:basedOn w:val="a0"/>
    <w:rsid w:val="00825311"/>
    <w:rPr>
      <w:sz w:val="18"/>
      <w:szCs w:val="18"/>
    </w:rPr>
  </w:style>
  <w:style w:type="paragraph" w:styleId="a3">
    <w:name w:val="Normal (Web)"/>
    <w:basedOn w:val="a"/>
    <w:uiPriority w:val="99"/>
    <w:semiHidden/>
    <w:unhideWhenUsed/>
    <w:rsid w:val="0082531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8253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336792">
      <w:bodyDiv w:val="1"/>
      <w:marLeft w:val="0"/>
      <w:marRight w:val="0"/>
      <w:marTop w:val="0"/>
      <w:marBottom w:val="0"/>
      <w:divBdr>
        <w:top w:val="none" w:sz="0" w:space="0" w:color="auto"/>
        <w:left w:val="none" w:sz="0" w:space="0" w:color="auto"/>
        <w:bottom w:val="none" w:sz="0" w:space="0" w:color="auto"/>
        <w:right w:val="none" w:sz="0" w:space="0" w:color="auto"/>
      </w:divBdr>
      <w:divsChild>
        <w:div w:id="1105079270">
          <w:marLeft w:val="0"/>
          <w:marRight w:val="0"/>
          <w:marTop w:val="0"/>
          <w:marBottom w:val="0"/>
          <w:divBdr>
            <w:top w:val="none" w:sz="0" w:space="0" w:color="auto"/>
            <w:left w:val="none" w:sz="0" w:space="0" w:color="auto"/>
            <w:bottom w:val="none" w:sz="0" w:space="0" w:color="auto"/>
            <w:right w:val="none" w:sz="0" w:space="0" w:color="auto"/>
          </w:divBdr>
          <w:divsChild>
            <w:div w:id="181078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585</Words>
  <Characters>3339</Characters>
  <Application>Microsoft Office Word</Application>
  <DocSecurity>0</DocSecurity>
  <Lines>27</Lines>
  <Paragraphs>7</Paragraphs>
  <ScaleCrop>false</ScaleCrop>
  <Company/>
  <LinksUpToDate>false</LinksUpToDate>
  <CharactersWithSpaces>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2017-09-22T01:20:00Z</dcterms:created>
  <dcterms:modified xsi:type="dcterms:W3CDTF">2017-09-22T01:22:00Z</dcterms:modified>
</cp:coreProperties>
</file>