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shd w:val="clear" w:color="auto" w:fill="FFFFFF"/>
        <w:tblCellMar>
          <w:left w:w="0" w:type="dxa"/>
          <w:right w:w="0" w:type="dxa"/>
        </w:tblCellMar>
        <w:tblLook w:val="04A0" w:firstRow="1" w:lastRow="0" w:firstColumn="1" w:lastColumn="0" w:noHBand="0" w:noVBand="1"/>
      </w:tblPr>
      <w:tblGrid>
        <w:gridCol w:w="8306"/>
      </w:tblGrid>
      <w:tr w:rsidR="00B77E36" w:rsidRPr="00B77E36" w:rsidTr="00B77E36">
        <w:trPr>
          <w:tblCellSpacing w:w="0" w:type="dxa"/>
        </w:trPr>
        <w:tc>
          <w:tcPr>
            <w:tcW w:w="0" w:type="auto"/>
            <w:shd w:val="clear" w:color="auto" w:fill="FFFFFF"/>
            <w:vAlign w:val="center"/>
            <w:hideMark/>
          </w:tcPr>
          <w:p w:rsidR="00B77E36" w:rsidRPr="00B77E36" w:rsidRDefault="00B77E36" w:rsidP="00B77E36">
            <w:pPr>
              <w:widowControl/>
              <w:spacing w:line="324" w:lineRule="atLeast"/>
              <w:jc w:val="center"/>
              <w:rPr>
                <w:rFonts w:ascii="宋体" w:eastAsia="宋体" w:hAnsi="宋体" w:cs="宋体"/>
                <w:b/>
                <w:bCs/>
                <w:color w:val="002F5E"/>
                <w:kern w:val="0"/>
                <w:sz w:val="24"/>
                <w:szCs w:val="24"/>
              </w:rPr>
            </w:pPr>
            <w:r w:rsidRPr="00B77E36">
              <w:rPr>
                <w:rFonts w:ascii="宋体" w:eastAsia="宋体" w:hAnsi="宋体" w:cs="宋体" w:hint="eastAsia"/>
                <w:b/>
                <w:bCs/>
                <w:color w:val="002F5E"/>
                <w:kern w:val="0"/>
                <w:sz w:val="24"/>
                <w:szCs w:val="24"/>
              </w:rPr>
              <w:t>2020年广州大学工商管理硕士（MBA）招生简章</w:t>
            </w:r>
          </w:p>
        </w:tc>
      </w:tr>
      <w:tr w:rsidR="00B77E36" w:rsidRPr="00B77E36" w:rsidTr="00B77E36">
        <w:trPr>
          <w:trHeight w:val="450"/>
          <w:tblCellSpacing w:w="0" w:type="dxa"/>
        </w:trPr>
        <w:tc>
          <w:tcPr>
            <w:tcW w:w="0" w:type="auto"/>
            <w:shd w:val="clear" w:color="auto" w:fill="FFFFFF"/>
            <w:vAlign w:val="center"/>
            <w:hideMark/>
          </w:tcPr>
          <w:p w:rsidR="00B77E36" w:rsidRPr="00B77E36" w:rsidRDefault="00B77E36" w:rsidP="00B77E36">
            <w:pPr>
              <w:widowControl/>
              <w:spacing w:line="324" w:lineRule="atLeast"/>
              <w:jc w:val="center"/>
              <w:rPr>
                <w:rFonts w:ascii="宋体" w:eastAsia="宋体" w:hAnsi="宋体" w:cs="宋体"/>
                <w:color w:val="002F5E"/>
                <w:kern w:val="0"/>
                <w:sz w:val="18"/>
                <w:szCs w:val="18"/>
              </w:rPr>
            </w:pPr>
          </w:p>
        </w:tc>
      </w:tr>
      <w:tr w:rsidR="00B77E36" w:rsidRPr="00B77E36" w:rsidTr="00B77E36">
        <w:trPr>
          <w:tblCellSpacing w:w="0" w:type="dxa"/>
        </w:trPr>
        <w:tc>
          <w:tcPr>
            <w:tcW w:w="0" w:type="auto"/>
            <w:shd w:val="clear" w:color="auto" w:fill="FFFFFF"/>
            <w:vAlign w:val="center"/>
            <w:hideMark/>
          </w:tcPr>
          <w:p w:rsidR="00B77E36" w:rsidRPr="00B77E36" w:rsidRDefault="00B77E36" w:rsidP="00B77E36">
            <w:pPr>
              <w:widowControl/>
              <w:spacing w:line="324" w:lineRule="atLeast"/>
              <w:jc w:val="right"/>
              <w:rPr>
                <w:rFonts w:ascii="宋体" w:eastAsia="宋体" w:hAnsi="宋体" w:cs="宋体"/>
                <w:color w:val="002F5E"/>
                <w:kern w:val="0"/>
                <w:sz w:val="18"/>
                <w:szCs w:val="18"/>
              </w:rPr>
            </w:pPr>
          </w:p>
        </w:tc>
      </w:tr>
      <w:tr w:rsidR="00B77E36" w:rsidRPr="00B77E36" w:rsidTr="00B77E36">
        <w:trPr>
          <w:tblCellSpacing w:w="0" w:type="dxa"/>
        </w:trPr>
        <w:tc>
          <w:tcPr>
            <w:tcW w:w="0" w:type="auto"/>
            <w:shd w:val="clear" w:color="auto" w:fill="FFFFFF"/>
            <w:vAlign w:val="center"/>
            <w:hideMark/>
          </w:tcPr>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宋体" w:eastAsia="宋体" w:hAnsi="宋体" w:cs="宋体" w:hint="eastAsia"/>
                <w:b/>
                <w:bCs/>
                <w:color w:val="000000"/>
                <w:kern w:val="0"/>
                <w:sz w:val="27"/>
                <w:szCs w:val="27"/>
              </w:rPr>
              <w:t>一、广州大学工商管理学院简介</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b/>
                <w:bCs/>
                <w:color w:val="000000"/>
                <w:kern w:val="0"/>
                <w:sz w:val="24"/>
                <w:szCs w:val="24"/>
              </w:rPr>
              <w:t>●</w:t>
            </w:r>
            <w:r w:rsidRPr="00B77E36">
              <w:rPr>
                <w:rFonts w:ascii="仿宋_gb2312" w:eastAsia="仿宋_gb2312" w:hAnsi="宋体" w:cs="宋体" w:hint="eastAsia"/>
                <w:b/>
                <w:bCs/>
                <w:color w:val="000000"/>
                <w:kern w:val="0"/>
                <w:sz w:val="24"/>
                <w:szCs w:val="24"/>
              </w:rPr>
              <w:t> </w:t>
            </w:r>
            <w:r w:rsidRPr="00B77E36">
              <w:rPr>
                <w:rFonts w:ascii="仿宋_gb2312" w:eastAsia="仿宋_gb2312" w:hAnsi="宋体" w:cs="宋体" w:hint="eastAsia"/>
                <w:b/>
                <w:bCs/>
                <w:color w:val="000000"/>
                <w:kern w:val="0"/>
                <w:sz w:val="24"/>
                <w:szCs w:val="24"/>
              </w:rPr>
              <w:t xml:space="preserve"> 学院</w:t>
            </w:r>
            <w:proofErr w:type="gramStart"/>
            <w:r w:rsidRPr="00B77E36">
              <w:rPr>
                <w:rFonts w:ascii="仿宋_gb2312" w:eastAsia="仿宋_gb2312" w:hAnsi="宋体" w:cs="宋体" w:hint="eastAsia"/>
                <w:b/>
                <w:bCs/>
                <w:color w:val="000000"/>
                <w:kern w:val="0"/>
                <w:sz w:val="24"/>
                <w:szCs w:val="24"/>
              </w:rPr>
              <w:t>的愿景与</w:t>
            </w:r>
            <w:proofErr w:type="gramEnd"/>
            <w:r w:rsidRPr="00B77E36">
              <w:rPr>
                <w:rFonts w:ascii="仿宋_gb2312" w:eastAsia="仿宋_gb2312" w:hAnsi="宋体" w:cs="宋体" w:hint="eastAsia"/>
                <w:b/>
                <w:bCs/>
                <w:color w:val="000000"/>
                <w:kern w:val="0"/>
                <w:sz w:val="24"/>
                <w:szCs w:val="24"/>
              </w:rPr>
              <w:t>使命</w:t>
            </w:r>
            <w:bookmarkStart w:id="0" w:name="_GoBack"/>
            <w:bookmarkEnd w:id="0"/>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价值观：立德明理、精工兴商</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愿景：打造数字化时代有责任的创新型管理学院</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使命：培养数字化时代有责任的管理领导者。</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特色定位：服务广州创新与发展、服务粤港澳大湾区高质量发展有责任的管理学院。</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b/>
                <w:bCs/>
                <w:color w:val="000000"/>
                <w:kern w:val="0"/>
                <w:sz w:val="24"/>
                <w:szCs w:val="24"/>
              </w:rPr>
              <w:t>●</w:t>
            </w:r>
            <w:r w:rsidRPr="00B77E36">
              <w:rPr>
                <w:rFonts w:ascii="仿宋_gb2312" w:eastAsia="仿宋_gb2312" w:hAnsi="宋体" w:cs="宋体" w:hint="eastAsia"/>
                <w:b/>
                <w:bCs/>
                <w:color w:val="000000"/>
                <w:kern w:val="0"/>
                <w:sz w:val="24"/>
                <w:szCs w:val="24"/>
              </w:rPr>
              <w:t> </w:t>
            </w:r>
            <w:r w:rsidRPr="00B77E36">
              <w:rPr>
                <w:rFonts w:ascii="仿宋_gb2312" w:eastAsia="仿宋_gb2312" w:hAnsi="宋体" w:cs="宋体" w:hint="eastAsia"/>
                <w:b/>
                <w:bCs/>
                <w:color w:val="000000"/>
                <w:kern w:val="0"/>
                <w:sz w:val="24"/>
                <w:szCs w:val="24"/>
              </w:rPr>
              <w:t xml:space="preserve"> 学院概况</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广州大学工商管理学院秉承“立德明理，精工兴商”的价值追求，建立了完善的本科－硕士－博士人才培养体系。拥有工商管理一级学科博士点和硕士点、工商管理（MBA）及工程硕士等专业硕士学位点；设置数据科学与管理工程、物流与电子商务、工程管理、创新与战略管理、组织行为与人力资源、市场营销等6个系；拥有专职教师100人，其中教授23人，博导14人，具有海外知名大学博士学位及海外经历的教师达70余人。</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拥有国家级</w:t>
            </w:r>
            <w:proofErr w:type="gramStart"/>
            <w:r w:rsidRPr="00B77E36">
              <w:rPr>
                <w:rFonts w:ascii="仿宋_gb2312" w:eastAsia="仿宋_gb2312" w:hAnsi="宋体" w:cs="宋体" w:hint="eastAsia"/>
                <w:color w:val="000000"/>
                <w:kern w:val="0"/>
                <w:sz w:val="24"/>
                <w:szCs w:val="24"/>
              </w:rPr>
              <w:t>众创空间</w:t>
            </w:r>
            <w:proofErr w:type="gramEnd"/>
            <w:r w:rsidRPr="00B77E36">
              <w:rPr>
                <w:rFonts w:ascii="仿宋_gb2312" w:eastAsia="仿宋_gb2312" w:hAnsi="宋体" w:cs="宋体" w:hint="eastAsia"/>
                <w:color w:val="000000"/>
                <w:kern w:val="0"/>
                <w:sz w:val="24"/>
                <w:szCs w:val="24"/>
              </w:rPr>
              <w:t>1个、国家级精品资源课程1门、省级特色专业1个、省级综合改革试点专业2个、省级人才培养模式创新实验区2个、省级教学团队4个、省级大学生实践教学基地3个、省级精品课程2门、省级实验教学示范中心1个。</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学院正通过高水平师资队伍建设、人才培养模式创新、科学研究国际合作、社会服务等改革措施，以培养数字化时代有责任的创新型高级管理人才为使命，紧密结合国家、粤港澳大湾区建设与发展对管理人才培养的需求，按照国际精英</w:t>
            </w:r>
            <w:r w:rsidRPr="00B77E36">
              <w:rPr>
                <w:rFonts w:ascii="仿宋_gb2312" w:eastAsia="仿宋_gb2312" w:hAnsi="宋体" w:cs="宋体" w:hint="eastAsia"/>
                <w:color w:val="000000"/>
                <w:kern w:val="0"/>
                <w:sz w:val="24"/>
                <w:szCs w:val="24"/>
              </w:rPr>
              <w:lastRenderedPageBreak/>
              <w:t>商学院（AACSB）的标准，朝着“国内一流，国际知名”管理学院的建设目标迈进。</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w:t>
            </w:r>
            <w:r w:rsidRPr="00B77E36">
              <w:rPr>
                <w:rFonts w:ascii="仿宋_gb2312" w:eastAsia="仿宋_gb2312" w:hAnsi="宋体" w:cs="宋体" w:hint="eastAsia"/>
                <w:b/>
                <w:bCs/>
                <w:color w:val="000000"/>
                <w:kern w:val="0"/>
                <w:sz w:val="24"/>
                <w:szCs w:val="24"/>
              </w:rPr>
              <w:t> </w:t>
            </w:r>
            <w:r w:rsidRPr="00B77E36">
              <w:rPr>
                <w:rFonts w:ascii="仿宋_gb2312" w:eastAsia="仿宋_gb2312" w:hAnsi="宋体" w:cs="宋体" w:hint="eastAsia"/>
                <w:b/>
                <w:bCs/>
                <w:color w:val="000000"/>
                <w:kern w:val="0"/>
                <w:sz w:val="24"/>
                <w:szCs w:val="24"/>
              </w:rPr>
              <w:t xml:space="preserve"> MBA项目培养目标</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针对粤港澳地区经济发展情况和企业经营管理人才培养的需要，培养具有合作进取的团队精神、战略决策能力和领导力、创新务实的管理技能和敢于承担社会责任、能适应现代企业全球化经营管理需要的务实型中高层次综合管理人才。</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 </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宋体" w:eastAsia="宋体" w:hAnsi="宋体" w:cs="宋体" w:hint="eastAsia"/>
                <w:b/>
                <w:bCs/>
                <w:color w:val="000000"/>
                <w:kern w:val="0"/>
                <w:sz w:val="24"/>
                <w:szCs w:val="24"/>
              </w:rPr>
              <w:t>二、专业方向设置和课程</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专业核心课程包括：管理经济学、数据模型与决策、会计学、财务管理、营销管理、组织行为学、战略管理、运营管理、信息系统与信息资源管理、管理沟通、人力资源管理与开发、商业伦理等。</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各专业方向部分选修课如下表所示。</w:t>
            </w:r>
          </w:p>
          <w:tbl>
            <w:tblPr>
              <w:tblW w:w="11655" w:type="dxa"/>
              <w:tblCellMar>
                <w:left w:w="0" w:type="dxa"/>
                <w:right w:w="0" w:type="dxa"/>
              </w:tblCellMar>
              <w:tblLook w:val="04A0" w:firstRow="1" w:lastRow="0" w:firstColumn="1" w:lastColumn="0" w:noHBand="0" w:noVBand="1"/>
            </w:tblPr>
            <w:tblGrid>
              <w:gridCol w:w="3379"/>
              <w:gridCol w:w="8276"/>
            </w:tblGrid>
            <w:tr w:rsidR="00B77E36" w:rsidRPr="00B77E36" w:rsidTr="00B77E36">
              <w:tc>
                <w:tcPr>
                  <w:tcW w:w="24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专业方向</w:t>
                  </w:r>
                </w:p>
              </w:tc>
              <w:tc>
                <w:tcPr>
                  <w:tcW w:w="589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课程内容</w:t>
                  </w:r>
                </w:p>
              </w:tc>
            </w:tr>
            <w:tr w:rsidR="00B77E36" w:rsidRPr="00B77E36" w:rsidTr="00B77E36">
              <w:tc>
                <w:tcPr>
                  <w:tcW w:w="240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房地产开发与管理</w:t>
                  </w:r>
                </w:p>
              </w:tc>
              <w:tc>
                <w:tcPr>
                  <w:tcW w:w="5891" w:type="dxa"/>
                  <w:tcBorders>
                    <w:top w:val="nil"/>
                    <w:left w:val="nil"/>
                    <w:bottom w:val="single" w:sz="8" w:space="0" w:color="auto"/>
                    <w:right w:val="single" w:sz="8" w:space="0" w:color="auto"/>
                  </w:tcBorders>
                  <w:tcMar>
                    <w:top w:w="0" w:type="dxa"/>
                    <w:left w:w="108" w:type="dxa"/>
                    <w:bottom w:w="0" w:type="dxa"/>
                    <w:right w:w="108" w:type="dxa"/>
                  </w:tcMa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房地产开发与经营、中国房地产市场分析与行业发展、房地产金融、房地产法律与案例研究、房地产项目投资与评估、现代项目管理、绿色建造和可持续发展等。</w:t>
                  </w:r>
                </w:p>
              </w:tc>
            </w:tr>
            <w:tr w:rsidR="00B77E36" w:rsidRPr="00B77E36" w:rsidTr="00B77E36">
              <w:tc>
                <w:tcPr>
                  <w:tcW w:w="240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商务数据分析</w:t>
                  </w:r>
                </w:p>
              </w:tc>
              <w:tc>
                <w:tcPr>
                  <w:tcW w:w="5891" w:type="dxa"/>
                  <w:tcBorders>
                    <w:top w:val="nil"/>
                    <w:left w:val="nil"/>
                    <w:bottom w:val="single" w:sz="8" w:space="0" w:color="auto"/>
                    <w:right w:val="single" w:sz="8" w:space="0" w:color="auto"/>
                  </w:tcBorders>
                  <w:tcMar>
                    <w:top w:w="0" w:type="dxa"/>
                    <w:left w:w="108" w:type="dxa"/>
                    <w:bottom w:w="0" w:type="dxa"/>
                    <w:right w:w="108" w:type="dxa"/>
                  </w:tcMa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商务数据分析与决策、大数据思维与数字化创新、机器学习与商务决策、大数据与新媒体营销、移动互联网下的消费者行为与品牌管理、新零售下的商业逻辑等。</w:t>
                  </w:r>
                </w:p>
              </w:tc>
            </w:tr>
            <w:tr w:rsidR="00B77E36" w:rsidRPr="00B77E36" w:rsidTr="00B77E36">
              <w:tc>
                <w:tcPr>
                  <w:tcW w:w="240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创新创业管理</w:t>
                  </w:r>
                </w:p>
              </w:tc>
              <w:tc>
                <w:tcPr>
                  <w:tcW w:w="5891" w:type="dxa"/>
                  <w:tcBorders>
                    <w:top w:val="nil"/>
                    <w:left w:val="nil"/>
                    <w:bottom w:val="single" w:sz="8" w:space="0" w:color="auto"/>
                    <w:right w:val="single" w:sz="8" w:space="0" w:color="auto"/>
                  </w:tcBorders>
                  <w:tcMar>
                    <w:top w:w="0" w:type="dxa"/>
                    <w:left w:w="108" w:type="dxa"/>
                    <w:bottom w:w="0" w:type="dxa"/>
                    <w:right w:w="108" w:type="dxa"/>
                  </w:tcMa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企业家精神、数字创业前沿、创业领导力、创业投融资、创业机会识别与评价、创新与管理变革、商业模式创新、创新管理与新产品开发等。</w:t>
                  </w:r>
                </w:p>
              </w:tc>
            </w:tr>
            <w:tr w:rsidR="00B77E36" w:rsidRPr="00B77E36" w:rsidTr="00B77E36">
              <w:tc>
                <w:tcPr>
                  <w:tcW w:w="240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企业运营管理</w:t>
                  </w:r>
                </w:p>
              </w:tc>
              <w:tc>
                <w:tcPr>
                  <w:tcW w:w="5891" w:type="dxa"/>
                  <w:tcBorders>
                    <w:top w:val="nil"/>
                    <w:left w:val="nil"/>
                    <w:bottom w:val="single" w:sz="8" w:space="0" w:color="auto"/>
                    <w:right w:val="single" w:sz="8" w:space="0" w:color="auto"/>
                  </w:tcBorders>
                  <w:tcMar>
                    <w:top w:w="0" w:type="dxa"/>
                    <w:left w:w="108" w:type="dxa"/>
                    <w:bottom w:w="0" w:type="dxa"/>
                    <w:right w:w="108" w:type="dxa"/>
                  </w:tcMa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现代物流管理、物流系统仿真与优化、采购与供应链管理、质量管理、人工智能与商业创新、供应链金融、IT与企业运营管理、技术创新与绿色运营等。</w:t>
                  </w:r>
                </w:p>
              </w:tc>
            </w:tr>
            <w:tr w:rsidR="00B77E36" w:rsidRPr="00B77E36" w:rsidTr="00B77E36">
              <w:tc>
                <w:tcPr>
                  <w:tcW w:w="240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lastRenderedPageBreak/>
                    <w:t>公司财务与项目融资</w:t>
                  </w:r>
                </w:p>
              </w:tc>
              <w:tc>
                <w:tcPr>
                  <w:tcW w:w="5891" w:type="dxa"/>
                  <w:tcBorders>
                    <w:top w:val="nil"/>
                    <w:left w:val="nil"/>
                    <w:bottom w:val="single" w:sz="8" w:space="0" w:color="auto"/>
                    <w:right w:val="single" w:sz="8" w:space="0" w:color="auto"/>
                  </w:tcBorders>
                  <w:tcMar>
                    <w:top w:w="0" w:type="dxa"/>
                    <w:left w:w="108" w:type="dxa"/>
                    <w:bottom w:w="0" w:type="dxa"/>
                    <w:right w:w="108" w:type="dxa"/>
                  </w:tcMa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会计与资本市场案例研究、内部控制与管理审计、管理控制与管理会计、企业财务报表分析、项目融资、资本市场与股权投融资、税务筹划、项目风险管理等。</w:t>
                  </w:r>
                </w:p>
              </w:tc>
            </w:tr>
          </w:tbl>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 </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宋体" w:eastAsia="宋体" w:hAnsi="宋体" w:cs="宋体" w:hint="eastAsia"/>
                <w:b/>
                <w:bCs/>
                <w:color w:val="000000"/>
                <w:kern w:val="0"/>
                <w:sz w:val="24"/>
                <w:szCs w:val="24"/>
              </w:rPr>
              <w:t>三、项目优势</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w:t>
            </w:r>
            <w:r w:rsidRPr="00B77E36">
              <w:rPr>
                <w:rFonts w:ascii="仿宋_gb2312" w:eastAsia="仿宋_gb2312" w:hAnsi="宋体" w:cs="宋体" w:hint="eastAsia"/>
                <w:b/>
                <w:bCs/>
                <w:color w:val="000000"/>
                <w:kern w:val="0"/>
                <w:sz w:val="24"/>
                <w:szCs w:val="24"/>
              </w:rPr>
              <w:t> </w:t>
            </w:r>
            <w:r w:rsidRPr="00B77E36">
              <w:rPr>
                <w:rFonts w:ascii="仿宋_gb2312" w:eastAsia="仿宋_gb2312" w:hAnsi="宋体" w:cs="宋体" w:hint="eastAsia"/>
                <w:b/>
                <w:bCs/>
                <w:color w:val="000000"/>
                <w:kern w:val="0"/>
                <w:sz w:val="24"/>
                <w:szCs w:val="24"/>
              </w:rPr>
              <w:t xml:space="preserve"> 特色专业方向，融合时代发展</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b/>
                <w:bCs/>
                <w:color w:val="000000"/>
                <w:kern w:val="0"/>
                <w:sz w:val="24"/>
                <w:szCs w:val="24"/>
              </w:rPr>
              <w:t>房地产开发与管理方向</w:t>
            </w:r>
            <w:r w:rsidRPr="00B77E36">
              <w:rPr>
                <w:rFonts w:ascii="仿宋_gb2312" w:eastAsia="仿宋_gb2312" w:hAnsi="宋体" w:cs="宋体" w:hint="eastAsia"/>
                <w:color w:val="000000"/>
                <w:kern w:val="0"/>
                <w:sz w:val="24"/>
                <w:szCs w:val="24"/>
              </w:rPr>
              <w:t>: 2017年GDP总量首破80</w:t>
            </w:r>
            <w:proofErr w:type="gramStart"/>
            <w:r w:rsidRPr="00B77E36">
              <w:rPr>
                <w:rFonts w:ascii="仿宋_gb2312" w:eastAsia="仿宋_gb2312" w:hAnsi="宋体" w:cs="宋体" w:hint="eastAsia"/>
                <w:color w:val="000000"/>
                <w:kern w:val="0"/>
                <w:sz w:val="24"/>
                <w:szCs w:val="24"/>
              </w:rPr>
              <w:t>万亿</w:t>
            </w:r>
            <w:proofErr w:type="gramEnd"/>
            <w:r w:rsidRPr="00B77E36">
              <w:rPr>
                <w:rFonts w:ascii="仿宋_gb2312" w:eastAsia="仿宋_gb2312" w:hAnsi="宋体" w:cs="宋体" w:hint="eastAsia"/>
                <w:color w:val="000000"/>
                <w:kern w:val="0"/>
                <w:sz w:val="24"/>
                <w:szCs w:val="24"/>
              </w:rPr>
              <w:t>，中国房地产市场的投资开发占据GDP的24%左右，广州大学MBA依托学院在房地产专业领域卓越的教学水平及社会影响力，设置了面向建设与房地产从业人员的房地产开发与管理方向（目前该方向尚属省内唯一，广大MBA独有），帮助学员提高和发展房地产开发与管理的决策能力与领导能力。</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b/>
                <w:bCs/>
                <w:color w:val="000000"/>
                <w:kern w:val="0"/>
                <w:sz w:val="24"/>
                <w:szCs w:val="24"/>
              </w:rPr>
              <w:t>商务数据分析方向</w:t>
            </w:r>
            <w:r w:rsidRPr="00B77E36">
              <w:rPr>
                <w:rFonts w:ascii="仿宋_gb2312" w:eastAsia="仿宋_gb2312" w:hAnsi="宋体" w:cs="宋体" w:hint="eastAsia"/>
                <w:color w:val="000000"/>
                <w:kern w:val="0"/>
                <w:sz w:val="24"/>
                <w:szCs w:val="24"/>
              </w:rPr>
              <w:t>: 当今社会是一个高速运转的大数据时代，大数据的应用覆盖电子商务、O2O、物流配送等各行各业，大数据分析帮助企业不断地发展新业务，创新运营模式。应对数字化时代的企业需求，广大MBA专门开设商务数据分析方向，助力企业培养大数据分析技术型与管理型融合的专业人才，使学员能够灵活运用所学的商务分析技能建立数据驱动的管理战略和决策，提升大数据时代个人和企业的竞争力。</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b/>
                <w:bCs/>
                <w:color w:val="000000"/>
                <w:kern w:val="0"/>
                <w:sz w:val="24"/>
                <w:szCs w:val="24"/>
              </w:rPr>
              <w:t>创新创业管理方向</w:t>
            </w:r>
            <w:r w:rsidRPr="00B77E36">
              <w:rPr>
                <w:rFonts w:ascii="仿宋_gb2312" w:eastAsia="仿宋_gb2312" w:hAnsi="宋体" w:cs="宋体" w:hint="eastAsia"/>
                <w:color w:val="000000"/>
                <w:kern w:val="0"/>
                <w:sz w:val="24"/>
                <w:szCs w:val="24"/>
              </w:rPr>
              <w:t>：以本院师资为主体组建的创新创业学院是广州地区高校创新创业教育重点建设平台，以创新工程项目实训为主线，培养具有多元化知识结构的技术应用、科研创新和自主创业方面的复合型人才。该平台面向全校学生（含MBA学员）开展“创意、创造、创业”三创教育与实践、创新创业人才培育和项目孵化服务，一方面可直接为学生提供无偿创业资助，另一方面也可以通过“五库融合”支撑平台的创业路演推介等多种活动协助学生开展创业项目融资。其中创新创业管理方向拥有</w:t>
            </w:r>
            <w:proofErr w:type="gramStart"/>
            <w:r w:rsidRPr="00B77E36">
              <w:rPr>
                <w:rFonts w:ascii="仿宋_gb2312" w:eastAsia="仿宋_gb2312" w:hAnsi="宋体" w:cs="宋体" w:hint="eastAsia"/>
                <w:color w:val="000000"/>
                <w:kern w:val="0"/>
                <w:sz w:val="24"/>
                <w:szCs w:val="24"/>
              </w:rPr>
              <w:t>国家级众创空间</w:t>
            </w:r>
            <w:proofErr w:type="gramEnd"/>
            <w:r w:rsidRPr="00B77E36">
              <w:rPr>
                <w:rFonts w:ascii="仿宋_gb2312" w:eastAsia="仿宋_gb2312" w:hAnsi="宋体" w:cs="宋体" w:hint="eastAsia"/>
                <w:color w:val="000000"/>
                <w:kern w:val="0"/>
                <w:sz w:val="24"/>
                <w:szCs w:val="24"/>
              </w:rPr>
              <w:t>，承担</w:t>
            </w:r>
            <w:proofErr w:type="gramStart"/>
            <w:r w:rsidRPr="00B77E36">
              <w:rPr>
                <w:rFonts w:ascii="仿宋_gb2312" w:eastAsia="仿宋_gb2312" w:hAnsi="宋体" w:cs="宋体" w:hint="eastAsia"/>
                <w:color w:val="000000"/>
                <w:kern w:val="0"/>
                <w:sz w:val="24"/>
                <w:szCs w:val="24"/>
              </w:rPr>
              <w:t>广州市众创空间</w:t>
            </w:r>
            <w:proofErr w:type="gramEnd"/>
            <w:r w:rsidRPr="00B77E36">
              <w:rPr>
                <w:rFonts w:ascii="仿宋_gb2312" w:eastAsia="仿宋_gb2312" w:hAnsi="宋体" w:cs="宋体" w:hint="eastAsia"/>
                <w:color w:val="000000"/>
                <w:kern w:val="0"/>
                <w:sz w:val="24"/>
                <w:szCs w:val="24"/>
              </w:rPr>
              <w:t>、孵化机绩效评价和数据库建设的日常工作。正在建设双创示范基地和科技金融实验室，与广</w:t>
            </w:r>
            <w:r w:rsidRPr="00B77E36">
              <w:rPr>
                <w:rFonts w:ascii="仿宋_gb2312" w:eastAsia="仿宋_gb2312" w:hAnsi="宋体" w:cs="宋体" w:hint="eastAsia"/>
                <w:color w:val="000000"/>
                <w:kern w:val="0"/>
                <w:sz w:val="24"/>
                <w:szCs w:val="24"/>
              </w:rPr>
              <w:lastRenderedPageBreak/>
              <w:t>州金控集团建设广州大学创新创业投资基金和博士后工作站。</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b/>
                <w:bCs/>
                <w:color w:val="000000"/>
                <w:kern w:val="0"/>
                <w:sz w:val="24"/>
                <w:szCs w:val="24"/>
              </w:rPr>
              <w:t>公司财务与项目融资方向以及企业运营管理方向</w:t>
            </w:r>
            <w:r w:rsidRPr="00B77E36">
              <w:rPr>
                <w:rFonts w:ascii="仿宋_gb2312" w:eastAsia="仿宋_gb2312" w:hAnsi="宋体" w:cs="宋体" w:hint="eastAsia"/>
                <w:color w:val="000000"/>
                <w:kern w:val="0"/>
                <w:sz w:val="24"/>
                <w:szCs w:val="24"/>
              </w:rPr>
              <w:t>:广州大学MBA还设置有传统的公司财务与项目融资、企业运营管理方向。培养学员应用工商管理中财务管理知识指导企业财务管理能力和项目融资、企业运营管理等方面的实践能力。工程管理专业带头人为教育部新世纪创新人才，物流管理专业带头人为广东省教学名师；教师团队科研能力强，在大型基础设施建设管理、新技术应用及管理、资产运营管理、供应链管理、冷链物流、物流规划、交通运输等领域具有较高的学术影响。</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w:t>
            </w:r>
            <w:r w:rsidRPr="00B77E36">
              <w:rPr>
                <w:rFonts w:ascii="仿宋_gb2312" w:eastAsia="仿宋_gb2312" w:hAnsi="宋体" w:cs="宋体" w:hint="eastAsia"/>
                <w:color w:val="000000"/>
                <w:kern w:val="0"/>
                <w:sz w:val="24"/>
                <w:szCs w:val="24"/>
              </w:rPr>
              <w:t>  </w:t>
            </w:r>
            <w:r w:rsidRPr="00B77E36">
              <w:rPr>
                <w:rFonts w:ascii="仿宋_gb2312" w:eastAsia="仿宋_gb2312" w:hAnsi="宋体" w:cs="宋体" w:hint="eastAsia"/>
                <w:b/>
                <w:bCs/>
                <w:color w:val="000000"/>
                <w:kern w:val="0"/>
                <w:sz w:val="24"/>
                <w:szCs w:val="24"/>
              </w:rPr>
              <w:t>国际合作与交流渠道广泛</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   </w:t>
            </w:r>
            <w:r w:rsidRPr="00B77E36">
              <w:rPr>
                <w:rFonts w:ascii="仿宋_gb2312" w:eastAsia="仿宋_gb2312" w:hAnsi="宋体" w:cs="宋体" w:hint="eastAsia"/>
                <w:color w:val="000000"/>
                <w:kern w:val="0"/>
                <w:sz w:val="24"/>
                <w:szCs w:val="24"/>
              </w:rPr>
              <w:t xml:space="preserve"> 学院与欧美著名高校及港澳台地区高校交流频繁，与美国密苏里大学、佛罗里达大学、悉尼大学、墨尔本皇家理工大学、香港大学、香港理工大学等20余所世界知名大学建立了合作与交流关系，有意愿的学员可以申请到海外合作高校开展学分修读、短期交流、企业实践等活动；具备国外高校（</w:t>
            </w:r>
            <w:proofErr w:type="gramStart"/>
            <w:r w:rsidRPr="00B77E36">
              <w:rPr>
                <w:rFonts w:ascii="仿宋_gb2312" w:eastAsia="仿宋_gb2312" w:hAnsi="宋体" w:cs="宋体" w:hint="eastAsia"/>
                <w:color w:val="000000"/>
                <w:kern w:val="0"/>
                <w:sz w:val="24"/>
                <w:szCs w:val="24"/>
              </w:rPr>
              <w:t>需已与</w:t>
            </w:r>
            <w:proofErr w:type="gramEnd"/>
            <w:r w:rsidRPr="00B77E36">
              <w:rPr>
                <w:rFonts w:ascii="仿宋_gb2312" w:eastAsia="仿宋_gb2312" w:hAnsi="宋体" w:cs="宋体" w:hint="eastAsia"/>
                <w:color w:val="000000"/>
                <w:kern w:val="0"/>
                <w:sz w:val="24"/>
                <w:szCs w:val="24"/>
              </w:rPr>
              <w:t>我校签订双学位培养合作协议）入学条件的，也可申请参加双学位培养项目。</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其中房地产开发与管理方向与美国房地产硕士排名第一的佛罗里达国际大学（FIU）开展双学位合作，有意愿的学员可以申请报读广州大学与佛罗里达国际大学的双硕士学位（需具备美国佛罗里达国际大学硕士研究生入学条件）。</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w:t>
            </w:r>
            <w:r w:rsidRPr="00B77E36">
              <w:rPr>
                <w:rFonts w:ascii="仿宋_gb2312" w:eastAsia="仿宋_gb2312" w:hAnsi="宋体" w:cs="宋体" w:hint="eastAsia"/>
                <w:color w:val="000000"/>
                <w:kern w:val="0"/>
                <w:sz w:val="24"/>
                <w:szCs w:val="24"/>
              </w:rPr>
              <w:t>  </w:t>
            </w:r>
            <w:r w:rsidRPr="00B77E36">
              <w:rPr>
                <w:rFonts w:ascii="仿宋_gb2312" w:eastAsia="仿宋_gb2312" w:hAnsi="宋体" w:cs="宋体" w:hint="eastAsia"/>
                <w:b/>
                <w:bCs/>
                <w:color w:val="000000"/>
                <w:kern w:val="0"/>
                <w:sz w:val="24"/>
                <w:szCs w:val="24"/>
              </w:rPr>
              <w:t>扎根广州，“1+1”双导师制，理论与实战相结合</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学院秉持“立足广州，面向粤港澳大湾区”的办学定位，积极为粤港澳大湾区建设培养专业人才。用理论讲授、企业实践、国外著名高校短期学习等多种教学模式，提升学员的理论水平、实践能力和国际视野。</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采用由校内导师和校外行业导师组成“1+1”双导师制。一般为具有丰富企业经营管理经验的企业高层管理人员，在职业能力提升、理论知识运用、个人职业规划、案例分析、企业实践、论文写作、人脉延展等方面予以指导。</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lastRenderedPageBreak/>
              <w:t>●</w:t>
            </w:r>
            <w:r w:rsidRPr="00B77E36">
              <w:rPr>
                <w:rFonts w:ascii="仿宋_gb2312" w:eastAsia="仿宋_gb2312" w:hAnsi="宋体" w:cs="宋体" w:hint="eastAsia"/>
                <w:color w:val="000000"/>
                <w:kern w:val="0"/>
                <w:sz w:val="24"/>
                <w:szCs w:val="24"/>
              </w:rPr>
              <w:t>  </w:t>
            </w:r>
            <w:r w:rsidRPr="00B77E36">
              <w:rPr>
                <w:rFonts w:ascii="仿宋_gb2312" w:eastAsia="仿宋_gb2312" w:hAnsi="宋体" w:cs="宋体" w:hint="eastAsia"/>
                <w:b/>
                <w:bCs/>
                <w:color w:val="000000"/>
                <w:kern w:val="0"/>
                <w:sz w:val="24"/>
                <w:szCs w:val="24"/>
              </w:rPr>
              <w:t>丰富的校友资源和企业资源</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学院在30多年的办学历程中为社会输送优秀专业人才2万多名，校友遍布全省房地产业、物流服务业、金融业、咨询业等大中小型企业，部分校友已成为企业高级管理人员。已毕业校友心系母校、社会影响力大，愿意为学校和校友积极提供帮助和发展机会。</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学院与中国建设银行、中金公司、中国移动、阿里巴巴、京东、</w:t>
            </w:r>
            <w:proofErr w:type="gramStart"/>
            <w:r w:rsidRPr="00B77E36">
              <w:rPr>
                <w:rFonts w:ascii="仿宋_gb2312" w:eastAsia="仿宋_gb2312" w:hAnsi="宋体" w:cs="宋体" w:hint="eastAsia"/>
                <w:color w:val="000000"/>
                <w:kern w:val="0"/>
                <w:sz w:val="24"/>
                <w:szCs w:val="24"/>
              </w:rPr>
              <w:t>唯品会</w:t>
            </w:r>
            <w:proofErr w:type="gramEnd"/>
            <w:r w:rsidRPr="00B77E36">
              <w:rPr>
                <w:rFonts w:ascii="仿宋_gb2312" w:eastAsia="仿宋_gb2312" w:hAnsi="宋体" w:cs="宋体" w:hint="eastAsia"/>
                <w:color w:val="000000"/>
                <w:kern w:val="0"/>
                <w:sz w:val="24"/>
                <w:szCs w:val="24"/>
              </w:rPr>
              <w:t>、碧</w:t>
            </w:r>
            <w:proofErr w:type="gramStart"/>
            <w:r w:rsidRPr="00B77E36">
              <w:rPr>
                <w:rFonts w:ascii="仿宋_gb2312" w:eastAsia="仿宋_gb2312" w:hAnsi="宋体" w:cs="宋体" w:hint="eastAsia"/>
                <w:color w:val="000000"/>
                <w:kern w:val="0"/>
                <w:sz w:val="24"/>
                <w:szCs w:val="24"/>
              </w:rPr>
              <w:t>桂园</w:t>
            </w:r>
            <w:proofErr w:type="gramEnd"/>
            <w:r w:rsidRPr="00B77E36">
              <w:rPr>
                <w:rFonts w:ascii="仿宋_gb2312" w:eastAsia="仿宋_gb2312" w:hAnsi="宋体" w:cs="宋体" w:hint="eastAsia"/>
                <w:color w:val="000000"/>
                <w:kern w:val="0"/>
                <w:sz w:val="24"/>
                <w:szCs w:val="24"/>
              </w:rPr>
              <w:t>、万科、恒大、中国邮政、立白集团、南方电网、广铁集团、哈工大数据集团、清华斯维尔、顺丰集团、嘉</w:t>
            </w:r>
            <w:proofErr w:type="gramStart"/>
            <w:r w:rsidRPr="00B77E36">
              <w:rPr>
                <w:rFonts w:ascii="仿宋_gb2312" w:eastAsia="仿宋_gb2312" w:hAnsi="宋体" w:cs="宋体" w:hint="eastAsia"/>
                <w:color w:val="000000"/>
                <w:kern w:val="0"/>
                <w:sz w:val="24"/>
                <w:szCs w:val="24"/>
              </w:rPr>
              <w:t>诚国际</w:t>
            </w:r>
            <w:proofErr w:type="gramEnd"/>
            <w:r w:rsidRPr="00B77E36">
              <w:rPr>
                <w:rFonts w:ascii="仿宋_gb2312" w:eastAsia="仿宋_gb2312" w:hAnsi="宋体" w:cs="宋体" w:hint="eastAsia"/>
                <w:color w:val="000000"/>
                <w:kern w:val="0"/>
                <w:sz w:val="24"/>
                <w:szCs w:val="24"/>
              </w:rPr>
              <w:t>物流等100余家知名企业建立了密切的合作关系。</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w:t>
            </w:r>
            <w:r w:rsidRPr="00B77E36">
              <w:rPr>
                <w:rFonts w:ascii="仿宋_gb2312" w:eastAsia="仿宋_gb2312" w:hAnsi="宋体" w:cs="宋体" w:hint="eastAsia"/>
                <w:color w:val="000000"/>
                <w:kern w:val="0"/>
                <w:sz w:val="24"/>
                <w:szCs w:val="24"/>
              </w:rPr>
              <w:t>  </w:t>
            </w:r>
            <w:r w:rsidRPr="00B77E36">
              <w:rPr>
                <w:rFonts w:ascii="仿宋_gb2312" w:eastAsia="仿宋_gb2312" w:hAnsi="宋体" w:cs="宋体" w:hint="eastAsia"/>
                <w:b/>
                <w:bCs/>
                <w:color w:val="000000"/>
                <w:kern w:val="0"/>
                <w:sz w:val="24"/>
                <w:szCs w:val="24"/>
              </w:rPr>
              <w:t>以生为本，弹性学制</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在职学习，节假日和周末集中上课，不影响工作；采用学分制，课程学分5年内滚动有效。</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  </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宋体" w:eastAsia="宋体" w:hAnsi="宋体" w:cs="宋体" w:hint="eastAsia"/>
                <w:b/>
                <w:bCs/>
                <w:color w:val="000000"/>
                <w:kern w:val="0"/>
                <w:sz w:val="27"/>
                <w:szCs w:val="27"/>
              </w:rPr>
              <w:t>四、招生计划</w:t>
            </w:r>
          </w:p>
          <w:tbl>
            <w:tblPr>
              <w:tblW w:w="10785" w:type="dxa"/>
              <w:tblInd w:w="557" w:type="dxa"/>
              <w:tblCellMar>
                <w:left w:w="0" w:type="dxa"/>
                <w:right w:w="0" w:type="dxa"/>
              </w:tblCellMar>
              <w:tblLook w:val="04A0" w:firstRow="1" w:lastRow="0" w:firstColumn="1" w:lastColumn="0" w:noHBand="0" w:noVBand="1"/>
            </w:tblPr>
            <w:tblGrid>
              <w:gridCol w:w="2814"/>
              <w:gridCol w:w="1045"/>
              <w:gridCol w:w="1768"/>
              <w:gridCol w:w="1478"/>
              <w:gridCol w:w="3680"/>
            </w:tblGrid>
            <w:tr w:rsidR="00B77E36" w:rsidRPr="00B77E36" w:rsidTr="00B77E36">
              <w:trPr>
                <w:trHeight w:val="340"/>
              </w:trPr>
              <w:tc>
                <w:tcPr>
                  <w:tcW w:w="227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学习方式</w:t>
                  </w:r>
                </w:p>
              </w:tc>
              <w:tc>
                <w:tcPr>
                  <w:tcW w:w="84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学制</w:t>
                  </w:r>
                </w:p>
              </w:tc>
              <w:tc>
                <w:tcPr>
                  <w:tcW w:w="142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授课时间</w:t>
                  </w:r>
                </w:p>
              </w:tc>
              <w:tc>
                <w:tcPr>
                  <w:tcW w:w="119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学费</w:t>
                  </w:r>
                </w:p>
              </w:tc>
              <w:tc>
                <w:tcPr>
                  <w:tcW w:w="297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备注</w:t>
                  </w:r>
                </w:p>
              </w:tc>
            </w:tr>
            <w:tr w:rsidR="00B77E36" w:rsidRPr="00B77E36" w:rsidTr="00B77E36">
              <w:trPr>
                <w:trHeight w:val="1021"/>
              </w:trPr>
              <w:tc>
                <w:tcPr>
                  <w:tcW w:w="227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（非全日制）工商管理</w:t>
                  </w:r>
                </w:p>
              </w:tc>
              <w:tc>
                <w:tcPr>
                  <w:tcW w:w="84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三年</w:t>
                  </w:r>
                </w:p>
              </w:tc>
              <w:tc>
                <w:tcPr>
                  <w:tcW w:w="142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周末/节假日</w:t>
                  </w:r>
                </w:p>
              </w:tc>
              <w:tc>
                <w:tcPr>
                  <w:tcW w:w="119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3.5万/年</w:t>
                  </w:r>
                </w:p>
              </w:tc>
              <w:tc>
                <w:tcPr>
                  <w:tcW w:w="297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课程学习1.5年，撰写学位论文1.5年，最长不超过5年</w:t>
                  </w:r>
                </w:p>
              </w:tc>
            </w:tr>
          </w:tbl>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 </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宋体" w:eastAsia="宋体" w:hAnsi="宋体" w:cs="宋体" w:hint="eastAsia"/>
                <w:b/>
                <w:bCs/>
                <w:color w:val="000000"/>
                <w:kern w:val="0"/>
                <w:sz w:val="24"/>
                <w:szCs w:val="24"/>
              </w:rPr>
              <w:t>五、报名条件</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1、获国家承认的大学本科学历后，有3年或3年以上工作经验的人员（2017年9月1日以前获得毕业证书）；</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lastRenderedPageBreak/>
              <w:t>2、获得国家承认的高职高专毕业学历后，有5年或5年以上工作经验（2015年9月1日以前获得毕业证书），达到与大学本科毕业生同等学力的人员；</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3、已获硕士学位或博士学位并有2年或2年以上工作经验的人员（2018年9月1日以前获得毕业证书）。</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 </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宋体" w:eastAsia="宋体" w:hAnsi="宋体" w:cs="宋体" w:hint="eastAsia"/>
                <w:b/>
                <w:bCs/>
                <w:color w:val="000000"/>
                <w:kern w:val="0"/>
                <w:sz w:val="24"/>
                <w:szCs w:val="24"/>
              </w:rPr>
              <w:t>六、报考流程</w:t>
            </w:r>
          </w:p>
          <w:tbl>
            <w:tblPr>
              <w:tblW w:w="12495" w:type="dxa"/>
              <w:tblInd w:w="494" w:type="dxa"/>
              <w:tblCellMar>
                <w:left w:w="0" w:type="dxa"/>
                <w:right w:w="0" w:type="dxa"/>
              </w:tblCellMar>
              <w:tblLook w:val="04A0" w:firstRow="1" w:lastRow="0" w:firstColumn="1" w:lastColumn="0" w:noHBand="0" w:noVBand="1"/>
            </w:tblPr>
            <w:tblGrid>
              <w:gridCol w:w="1919"/>
              <w:gridCol w:w="2728"/>
              <w:gridCol w:w="7848"/>
            </w:tblGrid>
            <w:tr w:rsidR="00B77E36" w:rsidRPr="00B77E36" w:rsidTr="00B77E36">
              <w:tc>
                <w:tcPr>
                  <w:tcW w:w="119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报考流程</w:t>
                  </w:r>
                </w:p>
              </w:tc>
              <w:tc>
                <w:tcPr>
                  <w:tcW w:w="170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时间</w:t>
                  </w:r>
                </w:p>
              </w:tc>
              <w:tc>
                <w:tcPr>
                  <w:tcW w:w="489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备注</w:t>
                  </w:r>
                </w:p>
              </w:tc>
            </w:tr>
            <w:tr w:rsidR="00B77E36" w:rsidRPr="00B77E36" w:rsidTr="00B77E36">
              <w:trPr>
                <w:trHeight w:val="580"/>
              </w:trPr>
              <w:tc>
                <w:tcPr>
                  <w:tcW w:w="119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网上报名</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2019年10月10日-31日</w:t>
                  </w:r>
                </w:p>
              </w:tc>
              <w:tc>
                <w:tcPr>
                  <w:tcW w:w="489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登陆中国研究生招生信息网（http://yz.chsi.com.cn）进行网报</w:t>
                  </w:r>
                </w:p>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（1）选择非全日制班（周六日上课）报考类别必须选“定向”；</w:t>
                  </w:r>
                </w:p>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 xml:space="preserve">（2）选择报考院系名称“工商管理学院”，报考专业“（125100）（专业学位）工商管理硕士”，在研究方向中选定“（00）不区分研究方向”并选定考试 </w:t>
                  </w:r>
                  <w:r w:rsidRPr="00B77E36">
                    <w:rPr>
                      <w:rFonts w:ascii="仿宋_gb2312" w:eastAsia="仿宋_gb2312" w:hAnsi="宋体" w:cs="宋体" w:hint="eastAsia"/>
                      <w:color w:val="000000"/>
                      <w:kern w:val="0"/>
                      <w:sz w:val="24"/>
                      <w:szCs w:val="24"/>
                    </w:rPr>
                    <w:t> </w:t>
                  </w:r>
                  <w:r w:rsidRPr="00B77E36">
                    <w:rPr>
                      <w:rFonts w:ascii="仿宋_gb2312" w:eastAsia="仿宋_gb2312" w:hAnsi="宋体" w:cs="宋体" w:hint="eastAsia"/>
                      <w:color w:val="000000"/>
                      <w:kern w:val="0"/>
                      <w:sz w:val="24"/>
                      <w:szCs w:val="24"/>
                    </w:rPr>
                    <w:t>科目（199）管理类联考综合能力）（204）英语二（如果考试科目不是显示综合能力和英语二，报考专业有误）。</w:t>
                  </w:r>
                </w:p>
              </w:tc>
            </w:tr>
            <w:tr w:rsidR="00B77E36" w:rsidRPr="00B77E36" w:rsidTr="00B77E36">
              <w:trPr>
                <w:trHeight w:val="1286"/>
              </w:trPr>
              <w:tc>
                <w:tcPr>
                  <w:tcW w:w="119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现场确认</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11月中上旬</w:t>
                  </w:r>
                </w:p>
              </w:tc>
              <w:tc>
                <w:tcPr>
                  <w:tcW w:w="489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考生到我校指定报考点进行现场确认(照相、交费和验证)并在网报时所选报名点规定的现场确认时间到报名点进行报考信息确认。</w:t>
                  </w:r>
                </w:p>
              </w:tc>
            </w:tr>
            <w:tr w:rsidR="00B77E36" w:rsidRPr="00B77E36" w:rsidTr="00B77E36">
              <w:trPr>
                <w:trHeight w:val="1286"/>
              </w:trPr>
              <w:tc>
                <w:tcPr>
                  <w:tcW w:w="119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准考证打印</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12月14-21日</w:t>
                  </w:r>
                </w:p>
              </w:tc>
              <w:tc>
                <w:tcPr>
                  <w:tcW w:w="489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考生</w:t>
                  </w:r>
                  <w:proofErr w:type="gramStart"/>
                  <w:r w:rsidRPr="00B77E36">
                    <w:rPr>
                      <w:rFonts w:ascii="仿宋_gb2312" w:eastAsia="仿宋_gb2312" w:hAnsi="宋体" w:cs="宋体" w:hint="eastAsia"/>
                      <w:color w:val="000000"/>
                      <w:kern w:val="0"/>
                      <w:sz w:val="24"/>
                      <w:szCs w:val="24"/>
                    </w:rPr>
                    <w:t>可凭网报用户名</w:t>
                  </w:r>
                  <w:proofErr w:type="gramEnd"/>
                  <w:r w:rsidRPr="00B77E36">
                    <w:rPr>
                      <w:rFonts w:ascii="仿宋_gb2312" w:eastAsia="仿宋_gb2312" w:hAnsi="宋体" w:cs="宋体" w:hint="eastAsia"/>
                      <w:color w:val="000000"/>
                      <w:kern w:val="0"/>
                      <w:sz w:val="24"/>
                      <w:szCs w:val="24"/>
                    </w:rPr>
                    <w:t>和密码登录“研招网”自行下载打印《准考证》。《准考证》使用A4幅面白纸打印，正、反两面在使用期间不得涂改或书写。考生凭下载打印的《准考证》及居民身份证参加初试和复试。</w:t>
                  </w:r>
                </w:p>
              </w:tc>
            </w:tr>
            <w:tr w:rsidR="00B77E36" w:rsidRPr="00B77E36" w:rsidTr="00B77E36">
              <w:trPr>
                <w:trHeight w:val="1016"/>
              </w:trPr>
              <w:tc>
                <w:tcPr>
                  <w:tcW w:w="119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全国联考</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12月21日</w:t>
                  </w:r>
                </w:p>
              </w:tc>
              <w:tc>
                <w:tcPr>
                  <w:tcW w:w="489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初试科目为管理类联考综合能力和英语二。</w:t>
                  </w:r>
                </w:p>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上午8:30-11:30</w:t>
                  </w:r>
                  <w:r w:rsidRPr="00B77E36">
                    <w:rPr>
                      <w:rFonts w:ascii="仿宋_gb2312" w:eastAsia="仿宋_gb2312" w:hAnsi="宋体" w:cs="宋体" w:hint="eastAsia"/>
                      <w:color w:val="000000"/>
                      <w:kern w:val="0"/>
                      <w:sz w:val="24"/>
                      <w:szCs w:val="24"/>
                    </w:rPr>
                    <w:t> </w:t>
                  </w:r>
                  <w:r w:rsidRPr="00B77E36">
                    <w:rPr>
                      <w:rFonts w:ascii="仿宋_gb2312" w:eastAsia="仿宋_gb2312" w:hAnsi="宋体" w:cs="宋体" w:hint="eastAsia"/>
                      <w:color w:val="000000"/>
                      <w:kern w:val="0"/>
                      <w:sz w:val="24"/>
                      <w:szCs w:val="24"/>
                    </w:rPr>
                    <w:t xml:space="preserve"> 管理类联考综合能力</w:t>
                  </w:r>
                </w:p>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下午14:00-17:00外国语</w:t>
                  </w:r>
                </w:p>
              </w:tc>
            </w:tr>
            <w:tr w:rsidR="00B77E36" w:rsidRPr="00B77E36" w:rsidTr="00B77E36">
              <w:trPr>
                <w:trHeight w:val="482"/>
              </w:trPr>
              <w:tc>
                <w:tcPr>
                  <w:tcW w:w="119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成绩查询</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2020年2月</w:t>
                  </w:r>
                </w:p>
              </w:tc>
              <w:tc>
                <w:tcPr>
                  <w:tcW w:w="489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详见具体通知</w:t>
                  </w:r>
                </w:p>
              </w:tc>
            </w:tr>
            <w:tr w:rsidR="00B77E36" w:rsidRPr="00B77E36" w:rsidTr="00B77E36">
              <w:trPr>
                <w:trHeight w:val="470"/>
              </w:trPr>
              <w:tc>
                <w:tcPr>
                  <w:tcW w:w="119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分数线公布</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2020年3月</w:t>
                  </w:r>
                </w:p>
              </w:tc>
              <w:tc>
                <w:tcPr>
                  <w:tcW w:w="489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详见具体通知</w:t>
                  </w:r>
                </w:p>
              </w:tc>
            </w:tr>
            <w:tr w:rsidR="00B77E36" w:rsidRPr="00B77E36" w:rsidTr="00B77E36">
              <w:trPr>
                <w:trHeight w:val="1006"/>
              </w:trPr>
              <w:tc>
                <w:tcPr>
                  <w:tcW w:w="119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lastRenderedPageBreak/>
                    <w:t>复试录取</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2020年4月</w:t>
                  </w:r>
                </w:p>
              </w:tc>
              <w:tc>
                <w:tcPr>
                  <w:tcW w:w="489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复试内容包括政治理论、英语能力、综合能力面试。具体复试方案及时间以我校研究生招生部门公布为准。</w:t>
                  </w:r>
                </w:p>
              </w:tc>
            </w:tr>
            <w:tr w:rsidR="00B77E36" w:rsidRPr="00B77E36" w:rsidTr="00B77E36">
              <w:tc>
                <w:tcPr>
                  <w:tcW w:w="119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录取时间</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2020年4月</w:t>
                  </w:r>
                </w:p>
              </w:tc>
              <w:tc>
                <w:tcPr>
                  <w:tcW w:w="4894" w:type="dxa"/>
                  <w:tcBorders>
                    <w:top w:val="nil"/>
                    <w:left w:val="nil"/>
                    <w:bottom w:val="single" w:sz="8" w:space="0" w:color="000000"/>
                    <w:right w:val="single" w:sz="8" w:space="0" w:color="000000"/>
                  </w:tcBorders>
                  <w:tcMar>
                    <w:top w:w="0" w:type="dxa"/>
                    <w:left w:w="108" w:type="dxa"/>
                    <w:bottom w:w="0" w:type="dxa"/>
                    <w:right w:w="108" w:type="dxa"/>
                  </w:tcMa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详见具体通知</w:t>
                  </w:r>
                </w:p>
              </w:tc>
            </w:tr>
            <w:tr w:rsidR="00B77E36" w:rsidRPr="00B77E36" w:rsidTr="00B77E36">
              <w:trPr>
                <w:trHeight w:val="494"/>
              </w:trPr>
              <w:tc>
                <w:tcPr>
                  <w:tcW w:w="119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发放录取通知书</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2020年6月</w:t>
                  </w:r>
                </w:p>
              </w:tc>
              <w:tc>
                <w:tcPr>
                  <w:tcW w:w="4894" w:type="dxa"/>
                  <w:tcBorders>
                    <w:top w:val="nil"/>
                    <w:left w:val="nil"/>
                    <w:bottom w:val="single" w:sz="8" w:space="0" w:color="000000"/>
                    <w:right w:val="single" w:sz="8" w:space="0" w:color="000000"/>
                  </w:tcBorders>
                  <w:tcMar>
                    <w:top w:w="0" w:type="dxa"/>
                    <w:left w:w="108" w:type="dxa"/>
                    <w:bottom w:w="0" w:type="dxa"/>
                    <w:right w:w="108" w:type="dxa"/>
                  </w:tcMa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详见具体通知</w:t>
                  </w:r>
                </w:p>
              </w:tc>
            </w:tr>
            <w:tr w:rsidR="00B77E36" w:rsidRPr="00B77E36" w:rsidTr="00B77E36">
              <w:trPr>
                <w:trHeight w:val="468"/>
              </w:trPr>
              <w:tc>
                <w:tcPr>
                  <w:tcW w:w="119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入学报到</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B77E36" w:rsidRPr="00B77E36" w:rsidRDefault="00B77E36" w:rsidP="00B77E36">
                  <w:pPr>
                    <w:widowControl/>
                    <w:spacing w:before="100" w:beforeAutospacing="1" w:after="100" w:afterAutospacing="1" w:line="480" w:lineRule="atLeast"/>
                    <w:jc w:val="center"/>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2020年9月</w:t>
                  </w:r>
                </w:p>
              </w:tc>
              <w:tc>
                <w:tcPr>
                  <w:tcW w:w="4894" w:type="dxa"/>
                  <w:tcBorders>
                    <w:top w:val="nil"/>
                    <w:left w:val="nil"/>
                    <w:bottom w:val="single" w:sz="8" w:space="0" w:color="000000"/>
                    <w:right w:val="single" w:sz="8" w:space="0" w:color="000000"/>
                  </w:tcBorders>
                  <w:tcMar>
                    <w:top w:w="0" w:type="dxa"/>
                    <w:left w:w="108" w:type="dxa"/>
                    <w:bottom w:w="0" w:type="dxa"/>
                    <w:right w:w="108" w:type="dxa"/>
                  </w:tcMar>
                  <w:hideMark/>
                </w:tcPr>
                <w:p w:rsidR="00B77E36" w:rsidRPr="00B77E36" w:rsidRDefault="00B77E36" w:rsidP="00B77E36">
                  <w:pPr>
                    <w:widowControl/>
                    <w:spacing w:before="100" w:beforeAutospacing="1" w:after="100" w:afterAutospacing="1" w:line="480" w:lineRule="atLeast"/>
                    <w:ind w:firstLine="480"/>
                    <w:jc w:val="left"/>
                    <w:rPr>
                      <w:rFonts w:ascii="宋体" w:eastAsia="宋体" w:hAnsi="宋体" w:cs="宋体"/>
                      <w:color w:val="002F5E"/>
                      <w:kern w:val="0"/>
                      <w:sz w:val="20"/>
                      <w:szCs w:val="20"/>
                    </w:rPr>
                  </w:pPr>
                  <w:r w:rsidRPr="00B77E36">
                    <w:rPr>
                      <w:rFonts w:ascii="仿宋_gb2312" w:eastAsia="仿宋_gb2312" w:hAnsi="宋体" w:cs="宋体" w:hint="eastAsia"/>
                      <w:color w:val="000000"/>
                      <w:kern w:val="0"/>
                      <w:sz w:val="24"/>
                      <w:szCs w:val="24"/>
                    </w:rPr>
                    <w:t>详见具体通知</w:t>
                  </w:r>
                </w:p>
              </w:tc>
            </w:tr>
          </w:tbl>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 </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宋体" w:eastAsia="宋体" w:hAnsi="宋体" w:cs="宋体" w:hint="eastAsia"/>
                <w:b/>
                <w:bCs/>
                <w:color w:val="000000"/>
                <w:kern w:val="0"/>
                <w:sz w:val="24"/>
                <w:szCs w:val="24"/>
              </w:rPr>
              <w:t>七、复试</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初试成绩满足要求的考生须参加复试，不参加复试或复试不合格的考生不予录取。复试一般包括政治理论笔试及综合面试。复试时间、地点待定（时间为每年3月份左右，具体以学院公布的复试实施细则为准）。</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 </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宋体" w:eastAsia="宋体" w:hAnsi="宋体" w:cs="宋体" w:hint="eastAsia"/>
                <w:b/>
                <w:bCs/>
                <w:color w:val="000000"/>
                <w:kern w:val="0"/>
                <w:sz w:val="24"/>
                <w:szCs w:val="24"/>
              </w:rPr>
              <w:t>八、体检</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考生体检工作由我校在复试阶段组织进行，体检须在我校指定的二级甲等以上医院进行。学校将参照教育部、卫生部、中国残联印发的《普通高等学校招生体检工作指导意见》（教学〔2003〕3号）要求，按照《教育部办公厅 卫生部办公厅关于普通高等学校招生学生入学身体检查取消乙肝项目检测有关问题的通知》（教学厅〔2010〕2号）规定，结合招生专业实际情况，提出我校的体检要求。</w:t>
            </w:r>
            <w:r w:rsidRPr="00B77E36">
              <w:rPr>
                <w:rFonts w:ascii="仿宋_gb2312" w:eastAsia="仿宋_gb2312" w:hAnsi="宋体" w:cs="宋体" w:hint="eastAsia"/>
                <w:color w:val="000000"/>
                <w:kern w:val="0"/>
                <w:sz w:val="24"/>
                <w:szCs w:val="24"/>
              </w:rPr>
              <w:t> </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 </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宋体" w:eastAsia="宋体" w:hAnsi="宋体" w:cs="宋体" w:hint="eastAsia"/>
                <w:b/>
                <w:bCs/>
                <w:color w:val="000000"/>
                <w:kern w:val="0"/>
                <w:sz w:val="24"/>
                <w:szCs w:val="24"/>
              </w:rPr>
              <w:t>九、报考咨询</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广州大学工商管理学院MBA中心</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地址：广州大学城外环西路230号，广州大学行政东楼后座629</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lastRenderedPageBreak/>
              <w:t>电话：020-39366453</w:t>
            </w:r>
            <w:r w:rsidRPr="00B77E36">
              <w:rPr>
                <w:rFonts w:ascii="仿宋_gb2312" w:eastAsia="仿宋_gb2312" w:hAnsi="宋体" w:cs="宋体" w:hint="eastAsia"/>
                <w:color w:val="000000"/>
                <w:kern w:val="0"/>
                <w:sz w:val="24"/>
                <w:szCs w:val="24"/>
              </w:rPr>
              <w:t> </w:t>
            </w:r>
            <w:r w:rsidRPr="00B77E36">
              <w:rPr>
                <w:rFonts w:ascii="仿宋_gb2312" w:eastAsia="仿宋_gb2312" w:hAnsi="宋体" w:cs="宋体" w:hint="eastAsia"/>
                <w:color w:val="000000"/>
                <w:kern w:val="0"/>
                <w:sz w:val="24"/>
                <w:szCs w:val="24"/>
              </w:rPr>
              <w:t>赵老师</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hint="eastAsia"/>
                <w:color w:val="000000"/>
                <w:kern w:val="0"/>
                <w:sz w:val="20"/>
                <w:szCs w:val="20"/>
              </w:rPr>
            </w:pPr>
            <w:r w:rsidRPr="00B77E36">
              <w:rPr>
                <w:rFonts w:ascii="仿宋_gb2312" w:eastAsia="仿宋_gb2312" w:hAnsi="宋体" w:cs="宋体" w:hint="eastAsia"/>
                <w:color w:val="000000"/>
                <w:kern w:val="0"/>
                <w:sz w:val="24"/>
                <w:szCs w:val="24"/>
              </w:rPr>
              <w:t>网址：广州大学工商管理学院 http://bas.gzhu.edu.cn</w:t>
            </w:r>
          </w:p>
          <w:p w:rsidR="00B77E36" w:rsidRPr="00B77E36" w:rsidRDefault="00B77E36" w:rsidP="00B77E36">
            <w:pPr>
              <w:widowControl/>
              <w:spacing w:before="100" w:beforeAutospacing="1" w:after="100" w:afterAutospacing="1" w:line="480" w:lineRule="atLeast"/>
              <w:ind w:firstLine="480"/>
              <w:jc w:val="left"/>
              <w:rPr>
                <w:rFonts w:ascii="仿宋_gb2312" w:eastAsia="仿宋_gb2312" w:hAnsi="宋体" w:cs="宋体"/>
                <w:color w:val="000000"/>
                <w:kern w:val="0"/>
                <w:sz w:val="20"/>
                <w:szCs w:val="20"/>
              </w:rPr>
            </w:pPr>
            <w:r w:rsidRPr="00B77E36">
              <w:rPr>
                <w:rFonts w:ascii="仿宋_gb2312" w:eastAsia="仿宋_gb2312" w:hAnsi="宋体" w:cs="宋体" w:hint="eastAsia"/>
                <w:color w:val="000000"/>
                <w:kern w:val="0"/>
                <w:sz w:val="24"/>
                <w:szCs w:val="24"/>
              </w:rPr>
              <w:t> </w:t>
            </w:r>
          </w:p>
        </w:tc>
      </w:tr>
    </w:tbl>
    <w:p w:rsidR="002714EE" w:rsidRPr="00B77E36" w:rsidRDefault="002714EE"/>
    <w:sectPr w:rsidR="002714EE" w:rsidRPr="00B77E3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3B5E" w:rsidRDefault="00923B5E" w:rsidP="00B77E36">
      <w:r>
        <w:separator/>
      </w:r>
    </w:p>
  </w:endnote>
  <w:endnote w:type="continuationSeparator" w:id="0">
    <w:p w:rsidR="00923B5E" w:rsidRDefault="00923B5E" w:rsidP="00B77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3B5E" w:rsidRDefault="00923B5E" w:rsidP="00B77E36">
      <w:r>
        <w:separator/>
      </w:r>
    </w:p>
  </w:footnote>
  <w:footnote w:type="continuationSeparator" w:id="0">
    <w:p w:rsidR="00923B5E" w:rsidRDefault="00923B5E" w:rsidP="00B77E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2F"/>
    <w:rsid w:val="0004442F"/>
    <w:rsid w:val="002714EE"/>
    <w:rsid w:val="00923B5E"/>
    <w:rsid w:val="00B77E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77E3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77E36"/>
    <w:rPr>
      <w:sz w:val="18"/>
      <w:szCs w:val="18"/>
    </w:rPr>
  </w:style>
  <w:style w:type="paragraph" w:styleId="a4">
    <w:name w:val="footer"/>
    <w:basedOn w:val="a"/>
    <w:link w:val="Char0"/>
    <w:uiPriority w:val="99"/>
    <w:unhideWhenUsed/>
    <w:rsid w:val="00B77E36"/>
    <w:pPr>
      <w:tabs>
        <w:tab w:val="center" w:pos="4153"/>
        <w:tab w:val="right" w:pos="8306"/>
      </w:tabs>
      <w:snapToGrid w:val="0"/>
      <w:jc w:val="left"/>
    </w:pPr>
    <w:rPr>
      <w:sz w:val="18"/>
      <w:szCs w:val="18"/>
    </w:rPr>
  </w:style>
  <w:style w:type="character" w:customStyle="1" w:styleId="Char0">
    <w:name w:val="页脚 Char"/>
    <w:basedOn w:val="a0"/>
    <w:link w:val="a4"/>
    <w:uiPriority w:val="99"/>
    <w:rsid w:val="00B77E36"/>
    <w:rPr>
      <w:sz w:val="18"/>
      <w:szCs w:val="18"/>
    </w:rPr>
  </w:style>
  <w:style w:type="character" w:customStyle="1" w:styleId="timestyle180700">
    <w:name w:val="timestyle180700"/>
    <w:basedOn w:val="a0"/>
    <w:rsid w:val="00B77E36"/>
  </w:style>
  <w:style w:type="character" w:customStyle="1" w:styleId="authorstyle180700">
    <w:name w:val="authorstyle180700"/>
    <w:basedOn w:val="a0"/>
    <w:rsid w:val="00B77E36"/>
  </w:style>
  <w:style w:type="character" w:customStyle="1" w:styleId="wbcontent">
    <w:name w:val="wb_content"/>
    <w:basedOn w:val="a0"/>
    <w:rsid w:val="00B77E36"/>
  </w:style>
  <w:style w:type="paragraph" w:styleId="a5">
    <w:name w:val="Normal (Web)"/>
    <w:basedOn w:val="a"/>
    <w:uiPriority w:val="99"/>
    <w:unhideWhenUsed/>
    <w:rsid w:val="00B77E36"/>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B77E3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77E3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77E36"/>
    <w:rPr>
      <w:sz w:val="18"/>
      <w:szCs w:val="18"/>
    </w:rPr>
  </w:style>
  <w:style w:type="paragraph" w:styleId="a4">
    <w:name w:val="footer"/>
    <w:basedOn w:val="a"/>
    <w:link w:val="Char0"/>
    <w:uiPriority w:val="99"/>
    <w:unhideWhenUsed/>
    <w:rsid w:val="00B77E36"/>
    <w:pPr>
      <w:tabs>
        <w:tab w:val="center" w:pos="4153"/>
        <w:tab w:val="right" w:pos="8306"/>
      </w:tabs>
      <w:snapToGrid w:val="0"/>
      <w:jc w:val="left"/>
    </w:pPr>
    <w:rPr>
      <w:sz w:val="18"/>
      <w:szCs w:val="18"/>
    </w:rPr>
  </w:style>
  <w:style w:type="character" w:customStyle="1" w:styleId="Char0">
    <w:name w:val="页脚 Char"/>
    <w:basedOn w:val="a0"/>
    <w:link w:val="a4"/>
    <w:uiPriority w:val="99"/>
    <w:rsid w:val="00B77E36"/>
    <w:rPr>
      <w:sz w:val="18"/>
      <w:szCs w:val="18"/>
    </w:rPr>
  </w:style>
  <w:style w:type="character" w:customStyle="1" w:styleId="timestyle180700">
    <w:name w:val="timestyle180700"/>
    <w:basedOn w:val="a0"/>
    <w:rsid w:val="00B77E36"/>
  </w:style>
  <w:style w:type="character" w:customStyle="1" w:styleId="authorstyle180700">
    <w:name w:val="authorstyle180700"/>
    <w:basedOn w:val="a0"/>
    <w:rsid w:val="00B77E36"/>
  </w:style>
  <w:style w:type="character" w:customStyle="1" w:styleId="wbcontent">
    <w:name w:val="wb_content"/>
    <w:basedOn w:val="a0"/>
    <w:rsid w:val="00B77E36"/>
  </w:style>
  <w:style w:type="paragraph" w:styleId="a5">
    <w:name w:val="Normal (Web)"/>
    <w:basedOn w:val="a"/>
    <w:uiPriority w:val="99"/>
    <w:unhideWhenUsed/>
    <w:rsid w:val="00B77E36"/>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B77E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1037340">
      <w:bodyDiv w:val="1"/>
      <w:marLeft w:val="0"/>
      <w:marRight w:val="0"/>
      <w:marTop w:val="0"/>
      <w:marBottom w:val="0"/>
      <w:divBdr>
        <w:top w:val="none" w:sz="0" w:space="0" w:color="auto"/>
        <w:left w:val="none" w:sz="0" w:space="0" w:color="auto"/>
        <w:bottom w:val="none" w:sz="0" w:space="0" w:color="auto"/>
        <w:right w:val="none" w:sz="0" w:space="0" w:color="auto"/>
      </w:divBdr>
      <w:divsChild>
        <w:div w:id="1259295537">
          <w:marLeft w:val="0"/>
          <w:marRight w:val="0"/>
          <w:marTop w:val="0"/>
          <w:marBottom w:val="0"/>
          <w:divBdr>
            <w:top w:val="none" w:sz="0" w:space="0" w:color="auto"/>
            <w:left w:val="none" w:sz="0" w:space="0" w:color="auto"/>
            <w:bottom w:val="none" w:sz="0" w:space="0" w:color="auto"/>
            <w:right w:val="none" w:sz="0" w:space="0" w:color="auto"/>
          </w:divBdr>
          <w:divsChild>
            <w:div w:id="1618171929">
              <w:marLeft w:val="0"/>
              <w:marRight w:val="0"/>
              <w:marTop w:val="0"/>
              <w:marBottom w:val="0"/>
              <w:divBdr>
                <w:top w:val="none" w:sz="0" w:space="0" w:color="auto"/>
                <w:left w:val="none" w:sz="0" w:space="0" w:color="auto"/>
                <w:bottom w:val="none" w:sz="0" w:space="0" w:color="auto"/>
                <w:right w:val="none" w:sz="0" w:space="0" w:color="auto"/>
              </w:divBdr>
              <w:divsChild>
                <w:div w:id="4371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640</Words>
  <Characters>3650</Characters>
  <Application>Microsoft Office Word</Application>
  <DocSecurity>0</DocSecurity>
  <Lines>30</Lines>
  <Paragraphs>8</Paragraphs>
  <ScaleCrop>false</ScaleCrop>
  <Company/>
  <LinksUpToDate>false</LinksUpToDate>
  <CharactersWithSpaces>4282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success</dc:creator>
  <cp:keywords/>
  <dc:description/>
  <cp:lastModifiedBy>success</cp:lastModifiedBy>
  <cp:revision>2</cp:revision>
  <dcterms:created xsi:type="dcterms:W3CDTF">2019-12-24T07:39:00Z</dcterms:created>
  <dcterms:modified xsi:type="dcterms:W3CDTF">2019-12-24T07:39:00Z</dcterms:modified>
</cp:coreProperties>
</file>