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eastAsia="微软雅黑" w:asciiTheme="minorAscii" w:hAnsiTheme="minorAscii" w:cstheme="minorBidi"/>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firstLine="0"/>
        <w:jc w:val="center"/>
        <w:rPr>
          <w:rFonts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kern w:val="0"/>
          <w:sz w:val="24"/>
          <w:szCs w:val="24"/>
          <w:lang w:val="en-US" w:eastAsia="zh-CN" w:bidi="ar"/>
        </w:rPr>
        <w:drawing>
          <wp:inline distT="0" distB="0" distL="114300" distR="114300">
            <wp:extent cx="4648200" cy="36195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648200" cy="3619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 w:lineRule="atLeast"/>
        <w:ind w:left="0" w:right="0"/>
        <w:rPr>
          <w:color w:val="333333"/>
          <w:sz w:val="24"/>
          <w:szCs w:val="24"/>
        </w:rPr>
      </w:pPr>
      <w:r>
        <w:rPr>
          <w:rFonts w:hint="eastAsia" w:ascii="微软雅黑" w:hAnsi="微软雅黑" w:eastAsia="微软雅黑" w:cs="微软雅黑"/>
          <w:i w:val="0"/>
          <w:caps w:val="0"/>
          <w:color w:val="333333"/>
          <w:spacing w:val="0"/>
          <w:sz w:val="24"/>
          <w:szCs w:val="24"/>
        </w:rPr>
        <w:t>复旦大学泛海国际金融学院FMBA PT+项目（在职金融MBA），立足上海国际金融中心，凭借学院世界顶级师资团队，汇聚金融业界、政府、企业的广泛专家资源，以及与国际著名院校的深度合作，独创金融理论学习和社会专业实践紧密结合的教学模式，旨在培养兼备国际金融视野、精晓国际金融之术，同时深谙中国金融实战、运筹中国金融之道的，能够为中国金融事业的崛起和国际金融时代的变革献计献力的全球金融领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5" w:afterAutospacing="0"/>
        <w:ind w:left="0" w:right="0"/>
        <w:rPr>
          <w:b/>
          <w:color w:val="333333"/>
          <w:sz w:val="30"/>
          <w:szCs w:val="30"/>
        </w:rPr>
      </w:pPr>
      <w:r>
        <w:rPr>
          <w:rFonts w:hint="eastAsia" w:ascii="微软雅黑" w:hAnsi="微软雅黑" w:eastAsia="微软雅黑" w:cs="微软雅黑"/>
          <w:b/>
          <w:i w:val="0"/>
          <w:caps w:val="0"/>
          <w:color w:val="333333"/>
          <w:spacing w:val="0"/>
          <w:sz w:val="30"/>
          <w:szCs w:val="30"/>
        </w:rPr>
        <w:t>项目概览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kern w:val="0"/>
          <w:sz w:val="24"/>
          <w:szCs w:val="24"/>
          <w:lang w:val="en-US" w:eastAsia="zh-CN" w:bidi="ar"/>
        </w:rPr>
        <w:drawing>
          <wp:inline distT="0" distB="0" distL="114300" distR="114300">
            <wp:extent cx="5039995" cy="2399665"/>
            <wp:effectExtent l="0" t="0" r="8255" b="635"/>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5"/>
                    <a:stretch>
                      <a:fillRect/>
                    </a:stretch>
                  </pic:blipFill>
                  <pic:spPr>
                    <a:xfrm>
                      <a:off x="0" y="0"/>
                      <a:ext cx="5039995" cy="239966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5" w:afterAutospacing="0"/>
        <w:ind w:left="0" w:right="0"/>
        <w:rPr>
          <w:b/>
          <w:color w:val="333333"/>
          <w:sz w:val="30"/>
          <w:szCs w:val="30"/>
        </w:rPr>
      </w:pPr>
      <w:r>
        <w:rPr>
          <w:rFonts w:hint="eastAsia" w:ascii="微软雅黑" w:hAnsi="微软雅黑" w:eastAsia="微软雅黑" w:cs="微软雅黑"/>
          <w:b/>
          <w:i w:val="0"/>
          <w:caps w:val="0"/>
          <w:color w:val="333333"/>
          <w:spacing w:val="0"/>
          <w:sz w:val="30"/>
          <w:szCs w:val="30"/>
        </w:rPr>
        <w:t>项目特色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rPr>
          <w:b/>
          <w:color w:val="E57734"/>
          <w:sz w:val="24"/>
          <w:szCs w:val="24"/>
        </w:rPr>
      </w:pPr>
      <w:r>
        <w:rPr>
          <w:rFonts w:hint="eastAsia" w:ascii="微软雅黑" w:hAnsi="微软雅黑" w:eastAsia="微软雅黑" w:cs="微软雅黑"/>
          <w:b/>
          <w:i w:val="0"/>
          <w:caps w:val="0"/>
          <w:color w:val="CCCCCC"/>
          <w:spacing w:val="0"/>
          <w:sz w:val="54"/>
          <w:szCs w:val="54"/>
        </w:rPr>
        <w:t>01 </w:t>
      </w:r>
      <w:r>
        <w:rPr>
          <w:rFonts w:hint="eastAsia" w:ascii="微软雅黑" w:hAnsi="微软雅黑" w:eastAsia="微软雅黑" w:cs="微软雅黑"/>
          <w:b/>
          <w:i w:val="0"/>
          <w:caps w:val="0"/>
          <w:color w:val="E57734"/>
          <w:spacing w:val="0"/>
          <w:sz w:val="24"/>
          <w:szCs w:val="24"/>
        </w:rPr>
        <w:t> 3R项目理念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kern w:val="0"/>
          <w:sz w:val="24"/>
          <w:szCs w:val="24"/>
          <w:lang w:val="en-US" w:eastAsia="zh-CN" w:bidi="ar"/>
        </w:rPr>
        <w:drawing>
          <wp:inline distT="0" distB="0" distL="114300" distR="114300">
            <wp:extent cx="2724150" cy="1819275"/>
            <wp:effectExtent l="0" t="0" r="0" b="9525"/>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8"/>
                    <pic:cNvPicPr>
                      <a:picLocks noChangeAspect="1"/>
                    </pic:cNvPicPr>
                  </pic:nvPicPr>
                  <pic:blipFill>
                    <a:blip r:embed="rId6"/>
                    <a:stretch>
                      <a:fillRect/>
                    </a:stretch>
                  </pic:blipFill>
                  <pic:spPr>
                    <a:xfrm>
                      <a:off x="0" y="0"/>
                      <a:ext cx="2724150" cy="18192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ind w:left="0" w:right="0"/>
        <w:rPr>
          <w:b/>
          <w:color w:val="333333"/>
          <w:sz w:val="24"/>
          <w:szCs w:val="24"/>
        </w:rPr>
      </w:pPr>
      <w:r>
        <w:rPr>
          <w:rFonts w:hint="eastAsia" w:ascii="微软雅黑" w:hAnsi="微软雅黑" w:eastAsia="微软雅黑" w:cs="微软雅黑"/>
          <w:b/>
          <w:i w:val="0"/>
          <w:caps w:val="0"/>
          <w:color w:val="333333"/>
          <w:spacing w:val="0"/>
          <w:sz w:val="24"/>
          <w:szCs w:val="24"/>
          <w:shd w:val="clear" w:fill="F2F2F2"/>
        </w:rPr>
        <w:t>Rigor 严谨 - 融合深度与广度的课程体系设计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 w:lineRule="atLeast"/>
        <w:ind w:left="0" w:right="0"/>
        <w:jc w:val="both"/>
        <w:rPr>
          <w:color w:val="888888"/>
          <w:sz w:val="24"/>
          <w:szCs w:val="24"/>
        </w:rPr>
      </w:pPr>
      <w:r>
        <w:rPr>
          <w:rFonts w:hint="eastAsia" w:ascii="微软雅黑" w:hAnsi="微软雅黑" w:eastAsia="微软雅黑" w:cs="微软雅黑"/>
          <w:i w:val="0"/>
          <w:caps w:val="0"/>
          <w:color w:val="888888"/>
          <w:spacing w:val="0"/>
          <w:sz w:val="24"/>
          <w:szCs w:val="24"/>
          <w:shd w:val="clear" w:fill="F2F2F2"/>
        </w:rPr>
        <w:t>金融与管理相结合：项目课程不仅追求专业知识的深度，更拓展金融知识结构的广度，特色课程与时俱进，涵盖金融前沿理论与热点问题，充分提升方向选修课程的附加价值。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kern w:val="0"/>
          <w:sz w:val="24"/>
          <w:szCs w:val="24"/>
          <w:lang w:val="en-US" w:eastAsia="zh-CN" w:bidi="ar"/>
        </w:rPr>
        <w:drawing>
          <wp:inline distT="0" distB="0" distL="114300" distR="114300">
            <wp:extent cx="2724150" cy="1819275"/>
            <wp:effectExtent l="0" t="0" r="0" b="9525"/>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icPr>
                  <pic:blipFill>
                    <a:blip r:embed="rId7"/>
                    <a:stretch>
                      <a:fillRect/>
                    </a:stretch>
                  </pic:blipFill>
                  <pic:spPr>
                    <a:xfrm>
                      <a:off x="0" y="0"/>
                      <a:ext cx="2724150" cy="18192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ind w:left="0" w:right="0"/>
        <w:rPr>
          <w:b/>
          <w:color w:val="333333"/>
          <w:sz w:val="24"/>
          <w:szCs w:val="24"/>
        </w:rPr>
      </w:pPr>
      <w:r>
        <w:rPr>
          <w:rFonts w:hint="eastAsia" w:ascii="微软雅黑" w:hAnsi="微软雅黑" w:eastAsia="微软雅黑" w:cs="微软雅黑"/>
          <w:b/>
          <w:i w:val="0"/>
          <w:caps w:val="0"/>
          <w:color w:val="333333"/>
          <w:spacing w:val="0"/>
          <w:sz w:val="24"/>
          <w:szCs w:val="24"/>
          <w:shd w:val="clear" w:fill="F2F2F2"/>
        </w:rPr>
        <w:t>Relevance 实践 - 学术教授与业界专家的授课模式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 w:lineRule="atLeast"/>
        <w:ind w:left="0" w:right="0"/>
        <w:jc w:val="both"/>
        <w:rPr>
          <w:color w:val="888888"/>
          <w:sz w:val="24"/>
          <w:szCs w:val="24"/>
        </w:rPr>
      </w:pPr>
      <w:r>
        <w:rPr>
          <w:rFonts w:hint="eastAsia" w:ascii="微软雅黑" w:hAnsi="微软雅黑" w:eastAsia="微软雅黑" w:cs="微软雅黑"/>
          <w:i w:val="0"/>
          <w:caps w:val="0"/>
          <w:color w:val="888888"/>
          <w:spacing w:val="0"/>
          <w:sz w:val="24"/>
          <w:szCs w:val="24"/>
          <w:shd w:val="clear" w:fill="F2F2F2"/>
        </w:rPr>
        <w:t>顶级师资不仅只是来自世界著名院校的学术教授，更有来自金融业界、政府、企业的专家联袂登场，升华学术造诣，深耕实务技能。通过LIVE Learning Project，将理论知识传授与行动教学紧密结合，以实现最具实践价值的教学方法。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kern w:val="0"/>
          <w:sz w:val="24"/>
          <w:szCs w:val="24"/>
          <w:lang w:val="en-US" w:eastAsia="zh-CN" w:bidi="ar"/>
        </w:rPr>
        <w:drawing>
          <wp:inline distT="0" distB="0" distL="114300" distR="114300">
            <wp:extent cx="2724150" cy="1809750"/>
            <wp:effectExtent l="0" t="0" r="0" b="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8"/>
                    <a:stretch>
                      <a:fillRect/>
                    </a:stretch>
                  </pic:blipFill>
                  <pic:spPr>
                    <a:xfrm>
                      <a:off x="0" y="0"/>
                      <a:ext cx="2724150" cy="18097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ind w:left="0" w:right="0"/>
        <w:rPr>
          <w:b/>
          <w:color w:val="333333"/>
          <w:sz w:val="24"/>
          <w:szCs w:val="24"/>
        </w:rPr>
      </w:pPr>
      <w:r>
        <w:rPr>
          <w:rFonts w:hint="eastAsia" w:ascii="微软雅黑" w:hAnsi="微软雅黑" w:eastAsia="微软雅黑" w:cs="微软雅黑"/>
          <w:b/>
          <w:i w:val="0"/>
          <w:caps w:val="0"/>
          <w:color w:val="333333"/>
          <w:spacing w:val="0"/>
          <w:sz w:val="24"/>
          <w:szCs w:val="24"/>
          <w:shd w:val="clear" w:fill="F2F2F2"/>
        </w:rPr>
        <w:t>Responsibility 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 w:lineRule="atLeast"/>
        <w:ind w:left="0" w:right="0"/>
        <w:jc w:val="both"/>
        <w:rPr>
          <w:color w:val="888888"/>
          <w:sz w:val="24"/>
          <w:szCs w:val="24"/>
        </w:rPr>
      </w:pPr>
      <w:r>
        <w:rPr>
          <w:rFonts w:hint="eastAsia" w:ascii="微软雅黑" w:hAnsi="微软雅黑" w:eastAsia="微软雅黑" w:cs="微软雅黑"/>
          <w:i w:val="0"/>
          <w:caps w:val="0"/>
          <w:color w:val="888888"/>
          <w:spacing w:val="0"/>
          <w:sz w:val="24"/>
          <w:szCs w:val="24"/>
          <w:shd w:val="clear" w:fill="F2F2F2"/>
        </w:rPr>
        <w:t>特别设置L.I.T.E.系列课程，培养兼具金融理论与实践综合能力，拥有国际视野、创新思维与责任感的未来金融管理领袖。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rPr>
          <w:b/>
          <w:color w:val="E57734"/>
          <w:sz w:val="24"/>
          <w:szCs w:val="24"/>
        </w:rPr>
      </w:pPr>
      <w:r>
        <w:rPr>
          <w:rFonts w:hint="eastAsia" w:ascii="微软雅黑" w:hAnsi="微软雅黑" w:eastAsia="微软雅黑" w:cs="微软雅黑"/>
          <w:b/>
          <w:i w:val="0"/>
          <w:caps w:val="0"/>
          <w:color w:val="CCCCCC"/>
          <w:spacing w:val="0"/>
          <w:sz w:val="54"/>
          <w:szCs w:val="54"/>
        </w:rPr>
        <w:t>02 </w:t>
      </w:r>
      <w:r>
        <w:rPr>
          <w:rFonts w:hint="eastAsia" w:ascii="微软雅黑" w:hAnsi="微软雅黑" w:eastAsia="微软雅黑" w:cs="微软雅黑"/>
          <w:b/>
          <w:i w:val="0"/>
          <w:caps w:val="0"/>
          <w:color w:val="E57734"/>
          <w:spacing w:val="0"/>
          <w:sz w:val="24"/>
          <w:szCs w:val="24"/>
        </w:rPr>
        <w:t> 首创MBA“+”的概念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AE5016"/>
        <w:spacing w:before="0" w:beforeAutospacing="0" w:after="0" w:afterAutospacing="0" w:line="28" w:lineRule="atLeast"/>
        <w:ind w:left="0" w:right="0" w:firstLine="0"/>
        <w:jc w:val="both"/>
        <w:rPr>
          <w:rFonts w:hint="eastAsia" w:ascii="微软雅黑" w:hAnsi="微软雅黑" w:eastAsia="微软雅黑" w:cs="微软雅黑"/>
          <w:i w:val="0"/>
          <w:caps w:val="0"/>
          <w:color w:val="FFFFFF"/>
          <w:spacing w:val="0"/>
          <w:sz w:val="24"/>
          <w:szCs w:val="24"/>
        </w:rPr>
      </w:pPr>
      <w:r>
        <w:rPr>
          <w:rFonts w:hint="eastAsia" w:ascii="微软雅黑" w:hAnsi="微软雅黑" w:eastAsia="微软雅黑" w:cs="微软雅黑"/>
          <w:i w:val="0"/>
          <w:caps w:val="0"/>
          <w:color w:val="FFFFFF"/>
          <w:spacing w:val="0"/>
          <w:kern w:val="0"/>
          <w:sz w:val="24"/>
          <w:szCs w:val="24"/>
          <w:shd w:val="clear" w:fill="AE5016"/>
          <w:lang w:val="en-US" w:eastAsia="zh-CN" w:bidi="ar"/>
        </w:rPr>
        <w:drawing>
          <wp:inline distT="0" distB="0" distL="114300" distR="114300">
            <wp:extent cx="4048125" cy="1504950"/>
            <wp:effectExtent l="0" t="0" r="9525" b="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icPr>
                  <pic:blipFill>
                    <a:blip r:embed="rId9"/>
                    <a:stretch>
                      <a:fillRect/>
                    </a:stretch>
                  </pic:blipFill>
                  <pic:spPr>
                    <a:xfrm>
                      <a:off x="0" y="0"/>
                      <a:ext cx="4048125" cy="15049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 w:lineRule="atLeast"/>
        <w:ind w:left="0" w:right="0"/>
        <w:jc w:val="both"/>
      </w:pPr>
      <w:r>
        <w:rPr>
          <w:rFonts w:hint="eastAsia" w:ascii="微软雅黑" w:hAnsi="微软雅黑" w:eastAsia="微软雅黑" w:cs="微软雅黑"/>
          <w:i w:val="0"/>
          <w:caps w:val="0"/>
          <w:color w:val="FFFFFF"/>
          <w:spacing w:val="0"/>
          <w:sz w:val="24"/>
          <w:szCs w:val="24"/>
          <w:shd w:val="clear" w:fill="AE5016"/>
        </w:rPr>
        <w:t>国际模块不再局限于海外游学、交换学分等初级模式，更与世界著名院校开展深度合作，充分甄选其最优势学科，为项目学生创造收获海外学位或特色方向专业证书的契机，实现真正的“+”增值教育。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rPr>
          <w:b/>
          <w:color w:val="E57734"/>
          <w:sz w:val="24"/>
          <w:szCs w:val="24"/>
        </w:rPr>
      </w:pPr>
      <w:r>
        <w:rPr>
          <w:rFonts w:hint="eastAsia" w:ascii="微软雅黑" w:hAnsi="微软雅黑" w:eastAsia="微软雅黑" w:cs="微软雅黑"/>
          <w:b/>
          <w:i w:val="0"/>
          <w:caps w:val="0"/>
          <w:color w:val="CCCCCC"/>
          <w:spacing w:val="0"/>
          <w:sz w:val="54"/>
          <w:szCs w:val="54"/>
        </w:rPr>
        <w:t>03 </w:t>
      </w:r>
      <w:r>
        <w:rPr>
          <w:rFonts w:hint="eastAsia" w:ascii="微软雅黑" w:hAnsi="微软雅黑" w:eastAsia="微软雅黑" w:cs="微软雅黑"/>
          <w:b/>
          <w:i w:val="0"/>
          <w:caps w:val="0"/>
          <w:color w:val="E57734"/>
          <w:spacing w:val="0"/>
          <w:sz w:val="24"/>
          <w:szCs w:val="24"/>
        </w:rPr>
        <w:t> 三重专属校友社会资源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E57734"/>
        <w:spacing w:before="0" w:beforeAutospacing="0" w:after="0" w:afterAutospacing="0" w:line="28" w:lineRule="atLeast"/>
        <w:ind w:left="0" w:right="0" w:firstLine="0"/>
        <w:jc w:val="both"/>
        <w:rPr>
          <w:rFonts w:hint="eastAsia" w:ascii="微软雅黑" w:hAnsi="微软雅黑" w:eastAsia="微软雅黑" w:cs="微软雅黑"/>
          <w:i w:val="0"/>
          <w:caps w:val="0"/>
          <w:color w:val="FFFFFF"/>
          <w:spacing w:val="0"/>
          <w:sz w:val="24"/>
          <w:szCs w:val="24"/>
        </w:rPr>
      </w:pPr>
      <w:r>
        <w:rPr>
          <w:rFonts w:hint="eastAsia" w:ascii="微软雅黑" w:hAnsi="微软雅黑" w:eastAsia="微软雅黑" w:cs="微软雅黑"/>
          <w:i w:val="0"/>
          <w:caps w:val="0"/>
          <w:color w:val="FFFFFF"/>
          <w:spacing w:val="0"/>
          <w:kern w:val="0"/>
          <w:sz w:val="24"/>
          <w:szCs w:val="24"/>
          <w:shd w:val="clear" w:fill="E57734"/>
          <w:lang w:val="en-US" w:eastAsia="zh-CN" w:bidi="ar"/>
        </w:rPr>
        <w:drawing>
          <wp:inline distT="0" distB="0" distL="114300" distR="114300">
            <wp:extent cx="4048125" cy="1504950"/>
            <wp:effectExtent l="0" t="0" r="9525" b="0"/>
            <wp:docPr id="2"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IMG_262"/>
                    <pic:cNvPicPr>
                      <a:picLocks noChangeAspect="1"/>
                    </pic:cNvPicPr>
                  </pic:nvPicPr>
                  <pic:blipFill>
                    <a:blip r:embed="rId10"/>
                    <a:stretch>
                      <a:fillRect/>
                    </a:stretch>
                  </pic:blipFill>
                  <pic:spPr>
                    <a:xfrm>
                      <a:off x="0" y="0"/>
                      <a:ext cx="4048125" cy="15049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 w:lineRule="atLeast"/>
        <w:ind w:left="0" w:right="0"/>
        <w:jc w:val="both"/>
      </w:pPr>
      <w:r>
        <w:rPr>
          <w:rFonts w:hint="eastAsia" w:ascii="微软雅黑" w:hAnsi="微软雅黑" w:eastAsia="微软雅黑" w:cs="微软雅黑"/>
          <w:i w:val="0"/>
          <w:caps w:val="0"/>
          <w:color w:val="FFFFFF"/>
          <w:spacing w:val="0"/>
          <w:sz w:val="24"/>
          <w:szCs w:val="24"/>
          <w:shd w:val="clear" w:fill="E57734"/>
        </w:rPr>
        <w:t>真正打通FMBA，EMBA和EMF多层项目体系，融汇百年复旦、泛海国金、金融业界，三重专属校友社会资源，不仅收获人生挚友良朋，更体悟金融人文之美。</w:t>
      </w:r>
    </w:p>
    <w:p>
      <w:pPr>
        <w:tabs>
          <w:tab w:val="left" w:pos="2298"/>
        </w:tabs>
        <w:bidi w:val="0"/>
        <w:jc w:val="left"/>
        <w:rPr>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Fonts w:ascii="宋体" w:hAnsi="宋体" w:eastAsia="宋体" w:cs="宋体"/>
          <w:kern w:val="0"/>
          <w:sz w:val="24"/>
          <w:szCs w:val="24"/>
          <w:bdr w:val="none" w:color="auto" w:sz="0" w:space="0"/>
          <w:lang w:val="en-US" w:eastAsia="zh-CN" w:bidi="ar"/>
        </w:rPr>
        <w:drawing>
          <wp:inline distT="0" distB="0" distL="114300" distR="114300">
            <wp:extent cx="6134100" cy="361950"/>
            <wp:effectExtent l="0" t="0" r="0" b="0"/>
            <wp:docPr id="1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IMG_256"/>
                    <pic:cNvPicPr>
                      <a:picLocks noChangeAspect="1"/>
                    </pic:cNvPicPr>
                  </pic:nvPicPr>
                  <pic:blipFill>
                    <a:blip r:embed="rId11"/>
                    <a:stretch>
                      <a:fillRect/>
                    </a:stretch>
                  </pic:blipFill>
                  <pic:spPr>
                    <a:xfrm>
                      <a:off x="0" y="0"/>
                      <a:ext cx="6134100" cy="3619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line="450" w:lineRule="atLeast"/>
        <w:ind w:left="0" w:right="0"/>
        <w:jc w:val="both"/>
        <w:rPr>
          <w:color w:val="333333"/>
          <w:sz w:val="24"/>
          <w:szCs w:val="24"/>
        </w:rPr>
      </w:pPr>
      <w:r>
        <w:rPr>
          <w:color w:val="333333"/>
          <w:sz w:val="24"/>
          <w:szCs w:val="24"/>
          <w:bdr w:val="none" w:color="auto" w:sz="0" w:space="0"/>
        </w:rPr>
        <w:t>复旦泛海国金FMBA PT+（非全日制金融MBA）的学生立志投身金融事业，拥有明确的职业规划和目标愿景，对于工作生活充满热情活力，对于丰富金融知识具有强烈诉求，对于扩展国际视野具有热切渴望，工作业绩卓著，备受赞许瞩目，力求重返校园不断提升自我的就职金融行业或其他行业从事金融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10" w:lineRule="atLeast"/>
        <w:ind w:left="0" w:right="0"/>
        <w:rPr>
          <w:b w:val="0"/>
        </w:rPr>
      </w:pPr>
      <w:r>
        <w:rPr>
          <w:b w:val="0"/>
          <w:i/>
          <w:bdr w:val="none" w:color="auto" w:sz="0" w:space="0"/>
        </w:rPr>
        <w:drawing>
          <wp:inline distT="0" distB="0" distL="114300" distR="114300">
            <wp:extent cx="228600" cy="247650"/>
            <wp:effectExtent l="0" t="0" r="0" b="0"/>
            <wp:docPr id="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7"/>
                    <pic:cNvPicPr>
                      <a:picLocks noChangeAspect="1"/>
                    </pic:cNvPicPr>
                  </pic:nvPicPr>
                  <pic:blipFill>
                    <a:blip r:embed="rId12"/>
                    <a:stretch>
                      <a:fillRect/>
                    </a:stretch>
                  </pic:blipFill>
                  <pic:spPr>
                    <a:xfrm>
                      <a:off x="0" y="0"/>
                      <a:ext cx="228600" cy="247650"/>
                    </a:xfrm>
                    <a:prstGeom prst="rect">
                      <a:avLst/>
                    </a:prstGeom>
                    <a:noFill/>
                    <a:ln w="9525">
                      <a:noFill/>
                    </a:ln>
                  </pic:spPr>
                </pic:pic>
              </a:graphicData>
            </a:graphic>
          </wp:inline>
        </w:drawing>
      </w:r>
      <w:r>
        <w:rPr>
          <w:b w:val="0"/>
          <w:bdr w:val="none" w:color="auto" w:sz="0" w:space="0"/>
        </w:rPr>
        <w:t> </w:t>
      </w:r>
      <w:r>
        <w:rPr>
          <w:b/>
          <w:color w:val="E57734"/>
          <w:sz w:val="27"/>
          <w:szCs w:val="27"/>
          <w:bdr w:val="none" w:color="auto" w:sz="0" w:space="0"/>
        </w:rPr>
        <w:t>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both"/>
        <w:rPr>
          <w:color w:val="333333"/>
          <w:sz w:val="24"/>
          <w:szCs w:val="24"/>
        </w:rPr>
      </w:pPr>
      <w:r>
        <w:rPr>
          <w:color w:val="333333"/>
          <w:sz w:val="24"/>
          <w:szCs w:val="24"/>
          <w:bdr w:val="none" w:color="auto" w:sz="0" w:space="0"/>
        </w:rPr>
        <w:t>● 入学前博士、硕士毕业2年及以上\本科毕业3年及以上\专科毕业5年及以上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10" w:lineRule="atLeast"/>
        <w:ind w:left="0" w:right="0"/>
        <w:rPr>
          <w:b w:val="0"/>
        </w:rPr>
      </w:pPr>
      <w:r>
        <w:rPr>
          <w:b w:val="0"/>
          <w:i/>
          <w:bdr w:val="none" w:color="auto" w:sz="0" w:space="0"/>
        </w:rPr>
        <w:drawing>
          <wp:inline distT="0" distB="0" distL="114300" distR="114300">
            <wp:extent cx="266700" cy="247650"/>
            <wp:effectExtent l="0" t="0" r="0" b="0"/>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icPr>
                  <pic:blipFill>
                    <a:blip r:embed="rId13"/>
                    <a:stretch>
                      <a:fillRect/>
                    </a:stretch>
                  </pic:blipFill>
                  <pic:spPr>
                    <a:xfrm>
                      <a:off x="0" y="0"/>
                      <a:ext cx="266700" cy="247650"/>
                    </a:xfrm>
                    <a:prstGeom prst="rect">
                      <a:avLst/>
                    </a:prstGeom>
                    <a:noFill/>
                    <a:ln w="9525">
                      <a:noFill/>
                    </a:ln>
                  </pic:spPr>
                </pic:pic>
              </a:graphicData>
            </a:graphic>
          </wp:inline>
        </w:drawing>
      </w:r>
      <w:r>
        <w:rPr>
          <w:b w:val="0"/>
          <w:bdr w:val="none" w:color="auto" w:sz="0" w:space="0"/>
        </w:rPr>
        <w:t> </w:t>
      </w:r>
      <w:r>
        <w:rPr>
          <w:b/>
          <w:color w:val="E57734"/>
          <w:sz w:val="27"/>
          <w:szCs w:val="27"/>
          <w:bdr w:val="none" w:color="auto" w:sz="0" w:space="0"/>
        </w:rPr>
        <w:t>申请流程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1126" w:right="0"/>
        <w:jc w:val="left"/>
        <w:rPr>
          <w:b/>
          <w:sz w:val="24"/>
          <w:szCs w:val="24"/>
        </w:rPr>
      </w:pPr>
      <w:r>
        <w:rPr>
          <w:rFonts w:ascii="宋体" w:hAnsi="宋体" w:eastAsia="宋体" w:cs="宋体"/>
          <w:b/>
          <w:kern w:val="0"/>
          <w:sz w:val="24"/>
          <w:szCs w:val="24"/>
          <w:bdr w:val="none" w:color="auto" w:sz="0" w:space="0"/>
          <w:lang w:val="en-US" w:eastAsia="zh-CN" w:bidi="ar"/>
        </w:rPr>
        <w:t>Step 1：网上申请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202" w:beforeAutospacing="0" w:after="0" w:afterAutospacing="0" w:line="450" w:lineRule="atLeast"/>
        <w:ind w:left="1726" w:right="0"/>
        <w:jc w:val="both"/>
        <w:rPr>
          <w:color w:val="333333"/>
          <w:sz w:val="24"/>
          <w:szCs w:val="24"/>
        </w:rPr>
      </w:pPr>
      <w:r>
        <w:rPr>
          <w:color w:val="333333"/>
          <w:sz w:val="24"/>
          <w:szCs w:val="24"/>
          <w:bdr w:val="none" w:color="auto" w:sz="0" w:space="0"/>
        </w:rPr>
        <w:t>登陆复旦大学泛海国际金融学院FMBA PT+项目申请系统，提交网上申请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1726" w:right="0"/>
        <w:jc w:val="both"/>
        <w:rPr>
          <w:color w:val="E57734"/>
          <w:sz w:val="24"/>
          <w:szCs w:val="24"/>
        </w:rPr>
      </w:pPr>
      <w:r>
        <w:rPr>
          <w:color w:val="E57734"/>
          <w:sz w:val="24"/>
          <w:szCs w:val="24"/>
          <w:bdr w:val="none" w:color="auto" w:sz="0" w:space="0"/>
        </w:rPr>
        <w:t>FISF FMBA PT+网申系统：</w:t>
      </w:r>
      <w:r>
        <w:rPr>
          <w:sz w:val="24"/>
          <w:szCs w:val="24"/>
          <w:u w:val="none"/>
          <w:bdr w:val="none" w:color="auto" w:sz="0" w:space="0"/>
        </w:rPr>
        <w:fldChar w:fldCharType="begin"/>
      </w:r>
      <w:r>
        <w:rPr>
          <w:sz w:val="24"/>
          <w:szCs w:val="24"/>
          <w:u w:val="none"/>
          <w:bdr w:val="none" w:color="auto" w:sz="0" w:space="0"/>
        </w:rPr>
        <w:instrText xml:space="preserve"> HYPERLINK "https://application.fisf.fudan.edu.cn/" </w:instrText>
      </w:r>
      <w:r>
        <w:rPr>
          <w:sz w:val="24"/>
          <w:szCs w:val="24"/>
          <w:u w:val="none"/>
          <w:bdr w:val="none" w:color="auto" w:sz="0" w:space="0"/>
        </w:rPr>
        <w:fldChar w:fldCharType="separate"/>
      </w:r>
      <w:r>
        <w:rPr>
          <w:rStyle w:val="7"/>
          <w:sz w:val="24"/>
          <w:szCs w:val="24"/>
          <w:u w:val="none"/>
          <w:bdr w:val="none" w:color="auto" w:sz="0" w:space="0"/>
        </w:rPr>
        <w:t>https://application.fisf.fudan.edu.cn</w:t>
      </w:r>
      <w:r>
        <w:rPr>
          <w:sz w:val="24"/>
          <w:szCs w:val="24"/>
          <w:u w:val="none"/>
          <w:bdr w:val="none" w:color="auto" w:sz="0" w:space="0"/>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933450" cy="1181100"/>
            <wp:effectExtent l="0" t="0" r="0" b="0"/>
            <wp:docPr id="1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IMG_259"/>
                    <pic:cNvPicPr>
                      <a:picLocks noChangeAspect="1"/>
                    </pic:cNvPicPr>
                  </pic:nvPicPr>
                  <pic:blipFill>
                    <a:blip r:embed="rId14"/>
                    <a:stretch>
                      <a:fillRect/>
                    </a:stretch>
                  </pic:blipFill>
                  <pic:spPr>
                    <a:xfrm>
                      <a:off x="0" y="0"/>
                      <a:ext cx="933450" cy="11811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1126" w:right="0"/>
        <w:jc w:val="left"/>
        <w:rPr>
          <w:b/>
          <w:sz w:val="24"/>
          <w:szCs w:val="24"/>
        </w:rPr>
      </w:pPr>
      <w:r>
        <w:rPr>
          <w:rFonts w:ascii="宋体" w:hAnsi="宋体" w:eastAsia="宋体" w:cs="宋体"/>
          <w:b/>
          <w:kern w:val="0"/>
          <w:sz w:val="24"/>
          <w:szCs w:val="24"/>
          <w:bdr w:val="none" w:color="auto" w:sz="0" w:space="0"/>
          <w:lang w:val="en-US" w:eastAsia="zh-CN" w:bidi="ar"/>
        </w:rPr>
        <w:t>Step 2：背景评估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933450" cy="1171575"/>
            <wp:effectExtent l="0" t="0" r="0" b="9525"/>
            <wp:docPr id="1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IMG_260"/>
                    <pic:cNvPicPr>
                      <a:picLocks noChangeAspect="1"/>
                    </pic:cNvPicPr>
                  </pic:nvPicPr>
                  <pic:blipFill>
                    <a:blip r:embed="rId15"/>
                    <a:stretch>
                      <a:fillRect/>
                    </a:stretch>
                  </pic:blipFill>
                  <pic:spPr>
                    <a:xfrm>
                      <a:off x="0" y="0"/>
                      <a:ext cx="933450" cy="11715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1126" w:right="0"/>
        <w:jc w:val="left"/>
        <w:rPr>
          <w:b/>
          <w:sz w:val="24"/>
          <w:szCs w:val="24"/>
        </w:rPr>
      </w:pPr>
      <w:r>
        <w:rPr>
          <w:rFonts w:ascii="宋体" w:hAnsi="宋体" w:eastAsia="宋体" w:cs="宋体"/>
          <w:b/>
          <w:kern w:val="0"/>
          <w:sz w:val="24"/>
          <w:szCs w:val="24"/>
          <w:bdr w:val="none" w:color="auto" w:sz="0" w:space="0"/>
          <w:lang w:val="en-US" w:eastAsia="zh-CN" w:bidi="ar"/>
        </w:rPr>
        <w:t>Step 3：预审面试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50" w:lineRule="atLeast"/>
        <w:ind w:left="1726" w:right="0"/>
        <w:jc w:val="both"/>
        <w:rPr>
          <w:color w:val="333333"/>
          <w:sz w:val="24"/>
          <w:szCs w:val="24"/>
        </w:rPr>
      </w:pPr>
      <w:r>
        <w:rPr>
          <w:color w:val="333333"/>
          <w:sz w:val="24"/>
          <w:szCs w:val="24"/>
          <w:bdr w:val="none" w:color="auto" w:sz="0" w:space="0"/>
        </w:rPr>
        <w:t>面试形式：小组面试与20分钟个人面试相结合，面试以中文为主；</w:t>
      </w:r>
      <w:r>
        <w:rPr>
          <w:color w:val="333333"/>
          <w:sz w:val="24"/>
          <w:szCs w:val="24"/>
          <w:bdr w:val="none" w:color="auto" w:sz="0" w:space="0"/>
        </w:rPr>
        <w:br w:type="textWrapping"/>
      </w:r>
      <w:r>
        <w:rPr>
          <w:color w:val="333333"/>
          <w:sz w:val="24"/>
          <w:szCs w:val="24"/>
          <w:bdr w:val="none" w:color="auto" w:sz="0" w:space="0"/>
        </w:rPr>
        <w:t>面试结果将于面试后的5-10个工作日内公布。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933450" cy="1181100"/>
            <wp:effectExtent l="0" t="0" r="0" b="0"/>
            <wp:docPr id="1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IMG_261"/>
                    <pic:cNvPicPr>
                      <a:picLocks noChangeAspect="1"/>
                    </pic:cNvPicPr>
                  </pic:nvPicPr>
                  <pic:blipFill>
                    <a:blip r:embed="rId16"/>
                    <a:stretch>
                      <a:fillRect/>
                    </a:stretch>
                  </pic:blipFill>
                  <pic:spPr>
                    <a:xfrm>
                      <a:off x="0" y="0"/>
                      <a:ext cx="933450" cy="11811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1126" w:right="0"/>
        <w:jc w:val="left"/>
        <w:rPr>
          <w:b/>
          <w:sz w:val="24"/>
          <w:szCs w:val="24"/>
        </w:rPr>
      </w:pPr>
      <w:r>
        <w:rPr>
          <w:rFonts w:ascii="宋体" w:hAnsi="宋体" w:eastAsia="宋体" w:cs="宋体"/>
          <w:b/>
          <w:kern w:val="0"/>
          <w:sz w:val="24"/>
          <w:szCs w:val="24"/>
          <w:bdr w:val="none" w:color="auto" w:sz="0" w:space="0"/>
          <w:lang w:val="en-US" w:eastAsia="zh-CN" w:bidi="ar"/>
        </w:rPr>
        <w:t>Step 4：MBA全国联考（大陆考生）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50" w:lineRule="atLeast"/>
        <w:ind w:left="1726" w:right="0"/>
        <w:jc w:val="both"/>
        <w:rPr>
          <w:color w:val="333333"/>
          <w:sz w:val="24"/>
          <w:szCs w:val="24"/>
        </w:rPr>
      </w:pPr>
      <w:r>
        <w:rPr>
          <w:color w:val="333333"/>
          <w:sz w:val="24"/>
          <w:szCs w:val="24"/>
          <w:bdr w:val="none" w:color="auto" w:sz="0" w:space="0"/>
        </w:rPr>
        <w:t>更多信息：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1726" w:right="0"/>
        <w:jc w:val="both"/>
        <w:rPr>
          <w:color w:val="E57734"/>
          <w:sz w:val="24"/>
          <w:szCs w:val="24"/>
        </w:rPr>
      </w:pPr>
      <w:r>
        <w:rPr>
          <w:sz w:val="24"/>
          <w:szCs w:val="24"/>
          <w:u w:val="none"/>
          <w:bdr w:val="none" w:color="auto" w:sz="0" w:space="0"/>
        </w:rPr>
        <w:fldChar w:fldCharType="begin"/>
      </w:r>
      <w:r>
        <w:rPr>
          <w:sz w:val="24"/>
          <w:szCs w:val="24"/>
          <w:u w:val="none"/>
          <w:bdr w:val="none" w:color="auto" w:sz="0" w:space="0"/>
        </w:rPr>
        <w:instrText xml:space="preserve"> HYPERLINK "https://fisf.fudan.edu.cn/show-169-3912.html" \t "https://fisf.fudan.edu.cn/_blank" </w:instrText>
      </w:r>
      <w:r>
        <w:rPr>
          <w:sz w:val="24"/>
          <w:szCs w:val="24"/>
          <w:u w:val="none"/>
          <w:bdr w:val="none" w:color="auto" w:sz="0" w:space="0"/>
        </w:rPr>
        <w:fldChar w:fldCharType="separate"/>
      </w:r>
      <w:r>
        <w:rPr>
          <w:rStyle w:val="7"/>
          <w:sz w:val="24"/>
          <w:szCs w:val="24"/>
          <w:u w:val="none"/>
          <w:bdr w:val="none" w:color="auto" w:sz="0" w:space="0"/>
        </w:rPr>
        <w:t>复旦大学泛海国际金融学院FMBA PT+（非全日制金融MBA）联考报名流程</w:t>
      </w:r>
      <w:r>
        <w:rPr>
          <w:sz w:val="24"/>
          <w:szCs w:val="24"/>
          <w:u w:val="none"/>
          <w:bdr w:val="none" w:color="auto" w:sz="0" w:space="0"/>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933450" cy="933450"/>
            <wp:effectExtent l="0" t="0" r="0" b="0"/>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IMG_262"/>
                    <pic:cNvPicPr>
                      <a:picLocks noChangeAspect="1"/>
                    </pic:cNvPicPr>
                  </pic:nvPicPr>
                  <pic:blipFill>
                    <a:blip r:embed="rId17"/>
                    <a:stretch>
                      <a:fillRect/>
                    </a:stretch>
                  </pic:blipFill>
                  <pic:spPr>
                    <a:xfrm>
                      <a:off x="0" y="0"/>
                      <a:ext cx="933450" cy="9334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10" w:lineRule="atLeast"/>
        <w:ind w:left="0" w:right="0"/>
        <w:rPr>
          <w:b w:val="0"/>
        </w:rPr>
      </w:pPr>
      <w:r>
        <w:rPr>
          <w:b w:val="0"/>
          <w:u w:val="none"/>
          <w:bdr w:val="none" w:color="auto" w:sz="0" w:space="0"/>
        </w:rPr>
        <w:fldChar w:fldCharType="begin"/>
      </w:r>
      <w:r>
        <w:rPr>
          <w:b w:val="0"/>
          <w:u w:val="none"/>
          <w:bdr w:val="none" w:color="auto" w:sz="0" w:space="0"/>
        </w:rPr>
        <w:instrText xml:space="preserve"> HYPERLINK "https://application.fisf.fudan.edu.cn/" \t "https://fisf.fudan.edu.cn/_blank" </w:instrText>
      </w:r>
      <w:r>
        <w:rPr>
          <w:b w:val="0"/>
          <w:u w:val="none"/>
          <w:bdr w:val="none" w:color="auto" w:sz="0" w:space="0"/>
        </w:rPr>
        <w:fldChar w:fldCharType="separate"/>
      </w:r>
      <w:r>
        <w:rPr>
          <w:rStyle w:val="7"/>
          <w:b w:val="0"/>
          <w:i/>
          <w:u w:val="none"/>
          <w:bdr w:val="none" w:color="auto" w:sz="0" w:space="0"/>
        </w:rPr>
        <w:drawing>
          <wp:inline distT="0" distB="0" distL="114300" distR="114300">
            <wp:extent cx="257175" cy="238125"/>
            <wp:effectExtent l="0" t="0" r="9525" b="9525"/>
            <wp:docPr id="14"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IMG_263"/>
                    <pic:cNvPicPr>
                      <a:picLocks noChangeAspect="1"/>
                    </pic:cNvPicPr>
                  </pic:nvPicPr>
                  <pic:blipFill>
                    <a:blip r:embed="rId18"/>
                    <a:stretch>
                      <a:fillRect/>
                    </a:stretch>
                  </pic:blipFill>
                  <pic:spPr>
                    <a:xfrm>
                      <a:off x="0" y="0"/>
                      <a:ext cx="257175" cy="238125"/>
                    </a:xfrm>
                    <a:prstGeom prst="rect">
                      <a:avLst/>
                    </a:prstGeom>
                    <a:noFill/>
                    <a:ln w="9525">
                      <a:noFill/>
                    </a:ln>
                  </pic:spPr>
                </pic:pic>
              </a:graphicData>
            </a:graphic>
          </wp:inline>
        </w:drawing>
      </w:r>
      <w:r>
        <w:rPr>
          <w:rStyle w:val="7"/>
          <w:b w:val="0"/>
          <w:u w:val="none"/>
          <w:bdr w:val="none" w:color="auto" w:sz="0" w:space="0"/>
        </w:rPr>
        <w:t> </w:t>
      </w:r>
      <w:r>
        <w:rPr>
          <w:rStyle w:val="7"/>
          <w:b/>
          <w:color w:val="E57734"/>
          <w:sz w:val="27"/>
          <w:szCs w:val="27"/>
          <w:u w:val="none"/>
          <w:bdr w:val="none" w:color="auto" w:sz="0" w:space="0"/>
        </w:rPr>
        <w:t>申请批次（FMBA PT+ 2021年入学）</w:t>
      </w:r>
      <w:r>
        <w:rPr>
          <w:b w:val="0"/>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50" w:lineRule="atLeast"/>
        <w:ind w:left="0" w:right="0"/>
        <w:jc w:val="both"/>
        <w:rPr>
          <w:color w:val="333333"/>
          <w:sz w:val="24"/>
          <w:szCs w:val="24"/>
        </w:rPr>
      </w:pPr>
      <w:r>
        <w:rPr>
          <w:color w:val="333333"/>
          <w:sz w:val="24"/>
          <w:szCs w:val="24"/>
          <w:bdr w:val="none" w:color="auto" w:sz="0" w:space="0"/>
        </w:rPr>
        <w:t>● </w:t>
      </w:r>
      <w:r>
        <w:rPr>
          <w:rStyle w:val="6"/>
          <w:color w:val="333333"/>
          <w:sz w:val="24"/>
          <w:szCs w:val="24"/>
          <w:bdr w:val="none" w:color="auto" w:sz="0" w:space="0"/>
        </w:rPr>
        <w:t>大陆地区考生申请批次</w:t>
      </w:r>
    </w:p>
    <w:tbl>
      <w:tblPr>
        <w:tblW w:w="984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923"/>
        <w:gridCol w:w="3590"/>
        <w:gridCol w:w="43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6" w:hRule="atLeast"/>
          <w:tblHeader/>
          <w:tblCellSpacing w:w="0" w:type="dxa"/>
        </w:trPr>
        <w:tc>
          <w:tcPr>
            <w:tcW w:w="1923"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批次</w:t>
            </w:r>
          </w:p>
        </w:tc>
        <w:tc>
          <w:tcPr>
            <w:tcW w:w="3590"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申请时间截止</w:t>
            </w:r>
            <w:r>
              <w:rPr>
                <w:rFonts w:ascii="宋体" w:hAnsi="宋体" w:eastAsia="宋体" w:cs="宋体"/>
                <w:b/>
                <w:color w:val="FFFFFF"/>
                <w:kern w:val="0"/>
                <w:sz w:val="24"/>
                <w:szCs w:val="24"/>
                <w:bdr w:val="none" w:color="auto" w:sz="0" w:space="0"/>
                <w:lang w:val="en-US" w:eastAsia="zh-CN" w:bidi="ar"/>
              </w:rPr>
              <w:br w:type="textWrapping"/>
            </w:r>
            <w:r>
              <w:rPr>
                <w:rFonts w:ascii="宋体" w:hAnsi="宋体" w:eastAsia="宋体" w:cs="宋体"/>
                <w:b/>
                <w:color w:val="FFFFFF"/>
                <w:kern w:val="0"/>
                <w:sz w:val="24"/>
                <w:szCs w:val="24"/>
                <w:bdr w:val="none" w:color="auto" w:sz="0" w:space="0"/>
                <w:lang w:val="en-US" w:eastAsia="zh-CN" w:bidi="ar"/>
              </w:rPr>
              <w:t>（周五）</w:t>
            </w:r>
          </w:p>
        </w:tc>
        <w:tc>
          <w:tcPr>
            <w:tcW w:w="4327"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面试时间</w:t>
            </w:r>
            <w:r>
              <w:rPr>
                <w:rFonts w:ascii="宋体" w:hAnsi="宋体" w:eastAsia="宋体" w:cs="宋体"/>
                <w:b/>
                <w:color w:val="FFFFFF"/>
                <w:kern w:val="0"/>
                <w:sz w:val="24"/>
                <w:szCs w:val="24"/>
                <w:bdr w:val="none" w:color="auto" w:sz="0" w:space="0"/>
                <w:lang w:val="en-US" w:eastAsia="zh-CN" w:bidi="ar"/>
              </w:rPr>
              <w:br w:type="textWrapping"/>
            </w:r>
            <w:r>
              <w:rPr>
                <w:rFonts w:ascii="宋体" w:hAnsi="宋体" w:eastAsia="宋体" w:cs="宋体"/>
                <w:b/>
                <w:color w:val="FFFFFF"/>
                <w:kern w:val="0"/>
                <w:sz w:val="24"/>
                <w:szCs w:val="24"/>
                <w:bdr w:val="none" w:color="auto" w:sz="0" w:space="0"/>
                <w:lang w:val="en-US" w:eastAsia="zh-CN" w:bidi="ar"/>
              </w:rPr>
              <w:t>（周六到周日）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第一批</w:t>
            </w:r>
          </w:p>
        </w:tc>
        <w:tc>
          <w:tcPr>
            <w:tcW w:w="3590"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5月1日</w:t>
            </w:r>
          </w:p>
        </w:tc>
        <w:tc>
          <w:tcPr>
            <w:tcW w:w="4327"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5月16—17日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第二批</w:t>
            </w:r>
          </w:p>
        </w:tc>
        <w:tc>
          <w:tcPr>
            <w:tcW w:w="3590"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6月5日</w:t>
            </w:r>
          </w:p>
        </w:tc>
        <w:tc>
          <w:tcPr>
            <w:tcW w:w="4327"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6月20—21日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第三批</w:t>
            </w:r>
          </w:p>
        </w:tc>
        <w:tc>
          <w:tcPr>
            <w:tcW w:w="3590"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7月3日</w:t>
            </w:r>
          </w:p>
        </w:tc>
        <w:tc>
          <w:tcPr>
            <w:tcW w:w="4327"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7月18—19日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第四批</w:t>
            </w:r>
          </w:p>
        </w:tc>
        <w:tc>
          <w:tcPr>
            <w:tcW w:w="3590"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8月7日</w:t>
            </w:r>
          </w:p>
        </w:tc>
        <w:tc>
          <w:tcPr>
            <w:tcW w:w="4327"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8月22—23日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第五批</w:t>
            </w:r>
          </w:p>
        </w:tc>
        <w:tc>
          <w:tcPr>
            <w:tcW w:w="3590"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9月4日</w:t>
            </w:r>
          </w:p>
        </w:tc>
        <w:tc>
          <w:tcPr>
            <w:tcW w:w="4327"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9月19—20日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第六批</w:t>
            </w:r>
          </w:p>
        </w:tc>
        <w:tc>
          <w:tcPr>
            <w:tcW w:w="3590"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9月18日</w:t>
            </w:r>
          </w:p>
        </w:tc>
        <w:tc>
          <w:tcPr>
            <w:tcW w:w="4327"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10月8、11日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第七批</w:t>
            </w:r>
          </w:p>
        </w:tc>
        <w:tc>
          <w:tcPr>
            <w:tcW w:w="3590"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10月2日</w:t>
            </w:r>
          </w:p>
        </w:tc>
        <w:tc>
          <w:tcPr>
            <w:tcW w:w="4327"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10月17—18日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6" w:hRule="atLeast"/>
          <w:tblCellSpacing w:w="0" w:type="dxa"/>
        </w:trPr>
        <w:tc>
          <w:tcPr>
            <w:tcW w:w="1923"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第八批</w:t>
            </w:r>
          </w:p>
        </w:tc>
        <w:tc>
          <w:tcPr>
            <w:tcW w:w="3590"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11月13日</w:t>
            </w:r>
          </w:p>
        </w:tc>
        <w:tc>
          <w:tcPr>
            <w:tcW w:w="4327"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11月28—29日</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50" w:lineRule="atLeast"/>
        <w:ind w:left="0" w:right="0"/>
        <w:jc w:val="both"/>
        <w:rPr>
          <w:color w:val="333333"/>
          <w:sz w:val="24"/>
          <w:szCs w:val="24"/>
        </w:rPr>
      </w:pPr>
      <w:r>
        <w:rPr>
          <w:color w:val="333333"/>
          <w:sz w:val="24"/>
          <w:szCs w:val="24"/>
          <w:bdr w:val="none" w:color="auto" w:sz="0" w:space="0"/>
        </w:rPr>
        <w:t>● </w:t>
      </w:r>
      <w:r>
        <w:rPr>
          <w:rStyle w:val="6"/>
          <w:color w:val="333333"/>
          <w:sz w:val="24"/>
          <w:szCs w:val="24"/>
          <w:bdr w:val="none" w:color="auto" w:sz="0" w:space="0"/>
        </w:rPr>
        <w:t>港澳台地区考生申请批次</w:t>
      </w:r>
    </w:p>
    <w:tbl>
      <w:tblPr>
        <w:tblW w:w="958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872"/>
        <w:gridCol w:w="3496"/>
        <w:gridCol w:w="42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91" w:hRule="atLeast"/>
          <w:tblHeader/>
          <w:tblCellSpacing w:w="0" w:type="dxa"/>
        </w:trPr>
        <w:tc>
          <w:tcPr>
            <w:tcW w:w="1872"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批次</w:t>
            </w:r>
          </w:p>
        </w:tc>
        <w:tc>
          <w:tcPr>
            <w:tcW w:w="3496"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申请时间截止</w:t>
            </w:r>
          </w:p>
        </w:tc>
        <w:tc>
          <w:tcPr>
            <w:tcW w:w="4212"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面试时间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7" w:hRule="atLeast"/>
          <w:tblCellSpacing w:w="0" w:type="dxa"/>
        </w:trPr>
        <w:tc>
          <w:tcPr>
            <w:tcW w:w="187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第一批</w:t>
            </w:r>
          </w:p>
        </w:tc>
        <w:tc>
          <w:tcPr>
            <w:tcW w:w="3496"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2020年9月30日（周三）</w:t>
            </w:r>
          </w:p>
        </w:tc>
        <w:tc>
          <w:tcPr>
            <w:tcW w:w="421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2020年10月17日（周六）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7" w:hRule="atLeast"/>
          <w:tblCellSpacing w:w="0" w:type="dxa"/>
        </w:trPr>
        <w:tc>
          <w:tcPr>
            <w:tcW w:w="1872"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第二批</w:t>
            </w:r>
          </w:p>
        </w:tc>
        <w:tc>
          <w:tcPr>
            <w:tcW w:w="3496"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2020年11月8日（周日）</w:t>
            </w:r>
          </w:p>
        </w:tc>
        <w:tc>
          <w:tcPr>
            <w:tcW w:w="4212"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2020年11月21日（周六）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7" w:hRule="atLeast"/>
          <w:tblCellSpacing w:w="0" w:type="dxa"/>
        </w:trPr>
        <w:tc>
          <w:tcPr>
            <w:tcW w:w="187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第三批</w:t>
            </w:r>
          </w:p>
        </w:tc>
        <w:tc>
          <w:tcPr>
            <w:tcW w:w="3496"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2020年12月13日（周日）</w:t>
            </w:r>
          </w:p>
        </w:tc>
        <w:tc>
          <w:tcPr>
            <w:tcW w:w="421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2020年12月26日（周六）</w:t>
            </w:r>
          </w:p>
        </w:tc>
      </w:tr>
    </w:tbl>
    <w:p>
      <w:pPr>
        <w:keepNext w:val="0"/>
        <w:keepLines w:val="0"/>
        <w:widowControl/>
        <w:suppressLineNumbers w:val="0"/>
        <w:spacing w:before="60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50" w:lineRule="atLeast"/>
        <w:ind w:left="0" w:right="0"/>
        <w:jc w:val="both"/>
        <w:rPr>
          <w:color w:val="333333"/>
          <w:sz w:val="24"/>
          <w:szCs w:val="24"/>
        </w:rPr>
      </w:pPr>
      <w:r>
        <w:rPr>
          <w:color w:val="333333"/>
          <w:sz w:val="24"/>
          <w:szCs w:val="24"/>
          <w:bdr w:val="none" w:color="auto" w:sz="0" w:space="0"/>
        </w:rPr>
        <w:t>● </w:t>
      </w:r>
      <w:r>
        <w:rPr>
          <w:rStyle w:val="6"/>
          <w:color w:val="333333"/>
          <w:sz w:val="24"/>
          <w:szCs w:val="24"/>
          <w:bdr w:val="none" w:color="auto" w:sz="0" w:space="0"/>
        </w:rPr>
        <w:t>国际考生申请批次</w:t>
      </w:r>
    </w:p>
    <w:tbl>
      <w:tblPr>
        <w:tblW w:w="992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939"/>
        <w:gridCol w:w="3619"/>
        <w:gridCol w:w="4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866" w:hRule="atLeast"/>
          <w:tblHeader/>
          <w:tblCellSpacing w:w="0" w:type="dxa"/>
        </w:trPr>
        <w:tc>
          <w:tcPr>
            <w:tcW w:w="1939"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批次</w:t>
            </w:r>
          </w:p>
        </w:tc>
        <w:tc>
          <w:tcPr>
            <w:tcW w:w="3619"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申请时间截止</w:t>
            </w:r>
          </w:p>
        </w:tc>
        <w:tc>
          <w:tcPr>
            <w:tcW w:w="4362" w:type="dxa"/>
            <w:tcBorders>
              <w:top w:val="nil"/>
              <w:left w:val="nil"/>
              <w:bottom w:val="nil"/>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rPr>
                <w:b/>
                <w:color w:val="FFFFFF"/>
              </w:rPr>
            </w:pPr>
            <w:r>
              <w:rPr>
                <w:rFonts w:ascii="宋体" w:hAnsi="宋体" w:eastAsia="宋体" w:cs="宋体"/>
                <w:b/>
                <w:color w:val="FFFFFF"/>
                <w:kern w:val="0"/>
                <w:sz w:val="24"/>
                <w:szCs w:val="24"/>
                <w:bdr w:val="none" w:color="auto" w:sz="0" w:space="0"/>
                <w:lang w:val="en-US" w:eastAsia="zh-CN" w:bidi="ar"/>
              </w:rPr>
              <w:t>面试时间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83" w:hRule="atLeast"/>
          <w:tblCellSpacing w:w="0" w:type="dxa"/>
        </w:trPr>
        <w:tc>
          <w:tcPr>
            <w:tcW w:w="1939"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第一批</w:t>
            </w:r>
          </w:p>
        </w:tc>
        <w:tc>
          <w:tcPr>
            <w:tcW w:w="3619"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2020年9月30日（周三）</w:t>
            </w:r>
          </w:p>
        </w:tc>
        <w:tc>
          <w:tcPr>
            <w:tcW w:w="436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2020年10月17日（周六）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883" w:hRule="atLeast"/>
          <w:tblCellSpacing w:w="0" w:type="dxa"/>
        </w:trPr>
        <w:tc>
          <w:tcPr>
            <w:tcW w:w="1939"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第二批</w:t>
            </w:r>
          </w:p>
        </w:tc>
        <w:tc>
          <w:tcPr>
            <w:tcW w:w="3619"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2020年11月8日（周日）</w:t>
            </w:r>
          </w:p>
        </w:tc>
        <w:tc>
          <w:tcPr>
            <w:tcW w:w="4362"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2020年11月21日（周六）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883" w:hRule="atLeast"/>
          <w:tblCellSpacing w:w="0" w:type="dxa"/>
        </w:trPr>
        <w:tc>
          <w:tcPr>
            <w:tcW w:w="1939"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第三批</w:t>
            </w:r>
          </w:p>
        </w:tc>
        <w:tc>
          <w:tcPr>
            <w:tcW w:w="3619"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2020年12月13日（周日）</w:t>
            </w:r>
          </w:p>
        </w:tc>
        <w:tc>
          <w:tcPr>
            <w:tcW w:w="436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2020年12月26日（周六）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83" w:hRule="atLeast"/>
          <w:tblCellSpacing w:w="0" w:type="dxa"/>
        </w:trPr>
        <w:tc>
          <w:tcPr>
            <w:tcW w:w="1939"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第四批</w:t>
            </w:r>
          </w:p>
        </w:tc>
        <w:tc>
          <w:tcPr>
            <w:tcW w:w="3619"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2021年2月21日（周日）</w:t>
            </w:r>
          </w:p>
        </w:tc>
        <w:tc>
          <w:tcPr>
            <w:tcW w:w="4362" w:type="dxa"/>
            <w:tcBorders>
              <w:top w:val="nil"/>
              <w:left w:val="nil"/>
              <w:bottom w:val="dashed" w:color="CCCCCC" w:sz="6" w:space="0"/>
              <w:right w:val="nil"/>
            </w:tcBorders>
            <w:shd w:val="clear" w:color="auto" w:fill="F8F8F8"/>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2021年3月6日（周六）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883" w:hRule="atLeast"/>
          <w:tblCellSpacing w:w="0" w:type="dxa"/>
        </w:trPr>
        <w:tc>
          <w:tcPr>
            <w:tcW w:w="1939"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第五批</w:t>
            </w:r>
          </w:p>
        </w:tc>
        <w:tc>
          <w:tcPr>
            <w:tcW w:w="3619"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2021年4月25日（周日）</w:t>
            </w:r>
          </w:p>
        </w:tc>
        <w:tc>
          <w:tcPr>
            <w:tcW w:w="4362" w:type="dxa"/>
            <w:tcBorders>
              <w:top w:val="nil"/>
              <w:left w:val="nil"/>
              <w:bottom w:val="dashed" w:color="CCCCCC" w:sz="6" w:space="0"/>
              <w:right w:val="nil"/>
            </w:tcBorders>
            <w:shd w:val="clear"/>
            <w:tcMar>
              <w:top w:w="225" w:type="dxa"/>
              <w:left w:w="225"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center"/>
            </w:pPr>
            <w:r>
              <w:rPr>
                <w:rFonts w:ascii="宋体" w:hAnsi="宋体" w:eastAsia="宋体" w:cs="宋体"/>
                <w:kern w:val="0"/>
                <w:sz w:val="24"/>
                <w:szCs w:val="24"/>
                <w:bdr w:val="none" w:color="auto" w:sz="0" w:space="0"/>
                <w:lang w:val="en-US" w:eastAsia="zh-CN" w:bidi="ar"/>
              </w:rPr>
              <w:t>2021年5月8日（周六）</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10" w:lineRule="atLeast"/>
        <w:ind w:left="0" w:right="0"/>
        <w:rPr>
          <w:b w:val="0"/>
        </w:rPr>
      </w:pPr>
      <w:r>
        <w:rPr>
          <w:b w:val="0"/>
          <w:i/>
          <w:bdr w:val="none" w:color="auto" w:sz="0" w:space="0"/>
        </w:rPr>
        <w:drawing>
          <wp:inline distT="0" distB="0" distL="114300" distR="114300">
            <wp:extent cx="266700" cy="228600"/>
            <wp:effectExtent l="0" t="0" r="0" b="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IMG_264"/>
                    <pic:cNvPicPr>
                      <a:picLocks noChangeAspect="1"/>
                    </pic:cNvPicPr>
                  </pic:nvPicPr>
                  <pic:blipFill>
                    <a:blip r:embed="rId19"/>
                    <a:stretch>
                      <a:fillRect/>
                    </a:stretch>
                  </pic:blipFill>
                  <pic:spPr>
                    <a:xfrm>
                      <a:off x="0" y="0"/>
                      <a:ext cx="266700" cy="228600"/>
                    </a:xfrm>
                    <a:prstGeom prst="rect">
                      <a:avLst/>
                    </a:prstGeom>
                    <a:noFill/>
                    <a:ln w="9525">
                      <a:noFill/>
                    </a:ln>
                  </pic:spPr>
                </pic:pic>
              </a:graphicData>
            </a:graphic>
          </wp:inline>
        </w:drawing>
      </w:r>
      <w:r>
        <w:rPr>
          <w:b w:val="0"/>
          <w:bdr w:val="none" w:color="auto" w:sz="0" w:space="0"/>
        </w:rPr>
        <w:t> </w:t>
      </w:r>
      <w:r>
        <w:rPr>
          <w:b/>
          <w:color w:val="E57734"/>
          <w:sz w:val="27"/>
          <w:szCs w:val="27"/>
          <w:bdr w:val="none" w:color="auto" w:sz="0" w:space="0"/>
        </w:rPr>
        <w:t>学费与奖学金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50" w:lineRule="atLeast"/>
        <w:ind w:left="0" w:right="0"/>
        <w:jc w:val="both"/>
        <w:rPr>
          <w:b/>
          <w:color w:val="333333"/>
          <w:sz w:val="27"/>
          <w:szCs w:val="27"/>
        </w:rPr>
      </w:pPr>
      <w:r>
        <w:rPr>
          <w:b/>
          <w:color w:val="E47734"/>
          <w:sz w:val="27"/>
          <w:szCs w:val="27"/>
          <w:bdr w:val="none" w:color="auto" w:sz="0" w:space="0"/>
        </w:rPr>
        <w:t>●</w:t>
      </w:r>
      <w:r>
        <w:rPr>
          <w:b/>
          <w:color w:val="333333"/>
          <w:sz w:val="27"/>
          <w:szCs w:val="27"/>
          <w:bdr w:val="none" w:color="auto" w:sz="0" w:space="0"/>
        </w:rPr>
        <w:t> 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FMBA PT+（非全日制金融MBA项目）2021级学费：￥528,000（拟）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0" w:afterAutospacing="0" w:line="450" w:lineRule="atLeast"/>
        <w:ind w:left="0" w:right="0"/>
        <w:jc w:val="both"/>
        <w:rPr>
          <w:color w:val="888888"/>
          <w:sz w:val="21"/>
          <w:szCs w:val="21"/>
        </w:rPr>
      </w:pPr>
      <w:r>
        <w:rPr>
          <w:color w:val="888888"/>
          <w:sz w:val="21"/>
          <w:szCs w:val="21"/>
          <w:bdr w:val="none" w:color="auto" w:sz="0" w:space="0"/>
        </w:rPr>
        <w:t>注：学费以学校财务部门公示为准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150" w:afterAutospacing="0" w:line="450" w:lineRule="atLeast"/>
        <w:ind w:left="0" w:right="0"/>
        <w:jc w:val="both"/>
        <w:rPr>
          <w:b/>
          <w:color w:val="333333"/>
          <w:sz w:val="27"/>
          <w:szCs w:val="27"/>
        </w:rPr>
      </w:pPr>
      <w:r>
        <w:rPr>
          <w:b/>
          <w:color w:val="E47734"/>
          <w:sz w:val="27"/>
          <w:szCs w:val="27"/>
          <w:bdr w:val="none" w:color="auto" w:sz="0" w:space="0"/>
        </w:rPr>
        <w:t>●</w:t>
      </w:r>
      <w:r>
        <w:rPr>
          <w:b/>
          <w:color w:val="333333"/>
          <w:sz w:val="27"/>
          <w:szCs w:val="27"/>
          <w:bdr w:val="none" w:color="auto" w:sz="0" w:space="0"/>
        </w:rPr>
        <w:t> 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复旦大学泛海国际金融学院大力投入近2,000万奖学金以奖励和吸引优质申请人，奖学金额度最高可达学费总额，覆盖率最高可达100%。同时，学院丰富了新生奖学金以鼓励更多优秀的申请人，更有多项在校生奖学金用来鼓励FMBAPT+学生在校期间勤奋学习、积极奉献和全面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line="630" w:lineRule="atLeast"/>
        <w:ind w:left="0" w:right="0"/>
        <w:jc w:val="both"/>
        <w:rPr>
          <w:b/>
          <w:color w:val="333333"/>
          <w:sz w:val="24"/>
          <w:szCs w:val="24"/>
        </w:rPr>
      </w:pPr>
      <w:r>
        <w:rPr>
          <w:b/>
          <w:color w:val="333333"/>
          <w:sz w:val="24"/>
          <w:szCs w:val="24"/>
          <w:bdr w:val="none" w:color="auto" w:sz="0" w:space="0"/>
        </w:rPr>
        <w:t>新生奖学金 </w:t>
      </w:r>
      <w:r>
        <w:rPr>
          <w:color w:val="666666"/>
          <w:sz w:val="21"/>
          <w:szCs w:val="21"/>
          <w:bdr w:val="none" w:color="auto" w:sz="0" w:space="0"/>
        </w:rPr>
        <w:t>（预审综合奖学金和笔试奖学金可叠加）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150" w:afterAutospacing="0" w:line="450" w:lineRule="atLeast"/>
        <w:ind w:left="0" w:right="0"/>
        <w:jc w:val="both"/>
        <w:rPr>
          <w:b/>
          <w:color w:val="333333"/>
          <w:sz w:val="24"/>
          <w:szCs w:val="24"/>
        </w:rPr>
      </w:pPr>
      <w:r>
        <w:rPr>
          <w:b/>
          <w:color w:val="E47734"/>
          <w:sz w:val="24"/>
          <w:szCs w:val="24"/>
          <w:bdr w:val="none" w:color="auto" w:sz="0" w:space="0"/>
        </w:rPr>
        <w:t>●</w:t>
      </w:r>
      <w:r>
        <w:rPr>
          <w:b/>
          <w:color w:val="333333"/>
          <w:sz w:val="24"/>
          <w:szCs w:val="24"/>
          <w:bdr w:val="none" w:color="auto" w:sz="0" w:space="0"/>
        </w:rPr>
        <w:t> 预审综合奖学金</w:t>
      </w:r>
      <w:r>
        <w:rPr>
          <w:b/>
          <w:color w:val="666666"/>
          <w:sz w:val="21"/>
          <w:szCs w:val="21"/>
          <w:bdr w:val="none" w:color="auto" w:sz="0" w:space="0"/>
        </w:rPr>
        <w:t>（以下各类预审综合奖学金可叠加，总额不超过第一学年的学费）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ind w:left="0" w:right="0"/>
        <w:jc w:val="left"/>
        <w:rPr>
          <w:b/>
          <w:color w:val="333333"/>
          <w:sz w:val="24"/>
          <w:szCs w:val="24"/>
        </w:rPr>
      </w:pPr>
      <w:r>
        <w:rPr>
          <w:rFonts w:ascii="宋体" w:hAnsi="宋体" w:eastAsia="宋体" w:cs="宋体"/>
          <w:i/>
          <w:color w:val="C3C3C3"/>
          <w:kern w:val="0"/>
          <w:sz w:val="72"/>
          <w:szCs w:val="72"/>
          <w:bdr w:val="none" w:color="auto" w:sz="0" w:space="0"/>
          <w:vertAlign w:val="subscript"/>
          <w:lang w:val="en-US" w:eastAsia="zh-CN" w:bidi="ar"/>
        </w:rPr>
        <w:t>1</w:t>
      </w:r>
      <w:r>
        <w:rPr>
          <w:rFonts w:ascii="宋体" w:hAnsi="宋体" w:eastAsia="宋体" w:cs="宋体"/>
          <w:b/>
          <w:color w:val="333333"/>
          <w:kern w:val="0"/>
          <w:sz w:val="24"/>
          <w:szCs w:val="24"/>
          <w:bdr w:val="none" w:color="auto" w:sz="0" w:space="0"/>
          <w:lang w:val="en-US" w:eastAsia="zh-CN" w:bidi="ar"/>
        </w:rPr>
        <w:t>早鸟奖学金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评选依据：所有参加第一轮预审面试并获得“直通资优生”面试结果的考生可享有此奖学金。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奖学金额度：￥10,000</w:t>
      </w:r>
    </w:p>
    <w:p>
      <w:pPr>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jc w:val="left"/>
        <w:rPr>
          <w:b/>
          <w:color w:val="333333"/>
          <w:sz w:val="24"/>
          <w:szCs w:val="24"/>
        </w:rPr>
      </w:pPr>
      <w:r>
        <w:rPr>
          <w:rFonts w:ascii="宋体" w:hAnsi="宋体" w:eastAsia="宋体" w:cs="宋体"/>
          <w:i/>
          <w:color w:val="C3C3C3"/>
          <w:kern w:val="0"/>
          <w:sz w:val="72"/>
          <w:szCs w:val="72"/>
          <w:bdr w:val="none" w:color="auto" w:sz="0" w:space="0"/>
          <w:vertAlign w:val="subscript"/>
          <w:lang w:val="en-US" w:eastAsia="zh-CN" w:bidi="ar"/>
        </w:rPr>
        <w:t>2</w:t>
      </w:r>
      <w:r>
        <w:rPr>
          <w:rFonts w:ascii="宋体" w:hAnsi="宋体" w:eastAsia="宋体" w:cs="宋体"/>
          <w:b/>
          <w:color w:val="333333"/>
          <w:kern w:val="0"/>
          <w:sz w:val="24"/>
          <w:szCs w:val="24"/>
          <w:bdr w:val="none" w:color="auto" w:sz="0" w:space="0"/>
          <w:lang w:val="en-US" w:eastAsia="zh-CN" w:bidi="ar"/>
        </w:rPr>
        <w:t>预审面试奖学金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评选依据：根据考生预审面试时的表现进行打分，按照排名获得相应奖学金，覆盖率可高达75%。</w:t>
      </w:r>
    </w:p>
    <w:tbl>
      <w:tblPr>
        <w:tblW w:w="980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8015"/>
        <w:gridCol w:w="1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936" w:hRule="atLeast"/>
          <w:tblHeader/>
          <w:tblCellSpacing w:w="0" w:type="dxa"/>
        </w:trPr>
        <w:tc>
          <w:tcPr>
            <w:tcW w:w="8015" w:type="dxa"/>
            <w:tcBorders>
              <w:top w:val="nil"/>
              <w:left w:val="nil"/>
              <w:bottom w:val="nil"/>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rPr>
                <w:b/>
                <w:color w:val="FFFFFF"/>
              </w:rPr>
            </w:pPr>
            <w:r>
              <w:rPr>
                <w:rFonts w:ascii="宋体" w:hAnsi="宋体" w:eastAsia="宋体" w:cs="宋体"/>
                <w:b/>
                <w:color w:val="FFFFFF"/>
                <w:kern w:val="0"/>
                <w:sz w:val="24"/>
                <w:szCs w:val="24"/>
                <w:bdr w:val="none" w:color="auto" w:sz="0" w:space="0"/>
                <w:lang w:val="en-US" w:eastAsia="zh-CN" w:bidi="ar"/>
              </w:rPr>
              <w:t>奖学金等级</w:t>
            </w:r>
          </w:p>
        </w:tc>
        <w:tc>
          <w:tcPr>
            <w:tcW w:w="1785" w:type="dxa"/>
            <w:tcBorders>
              <w:top w:val="nil"/>
              <w:left w:val="nil"/>
              <w:bottom w:val="nil"/>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rPr>
                <w:b/>
                <w:color w:val="FFFFFF"/>
              </w:rPr>
            </w:pPr>
            <w:r>
              <w:rPr>
                <w:rFonts w:ascii="宋体" w:hAnsi="宋体" w:eastAsia="宋体" w:cs="宋体"/>
                <w:b/>
                <w:color w:val="FFFFFF"/>
                <w:kern w:val="0"/>
                <w:sz w:val="24"/>
                <w:szCs w:val="24"/>
                <w:bdr w:val="none" w:color="auto" w:sz="0" w:space="0"/>
                <w:lang w:val="en-US" w:eastAsia="zh-CN" w:bidi="ar"/>
              </w:rPr>
              <w:t>额度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955" w:hRule="atLeast"/>
          <w:tblCellSpacing w:w="0" w:type="dxa"/>
        </w:trPr>
        <w:tc>
          <w:tcPr>
            <w:tcW w:w="801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面试一等奖学金</w:t>
            </w:r>
          </w:p>
        </w:tc>
        <w:tc>
          <w:tcPr>
            <w:tcW w:w="178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总学费的50%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955" w:hRule="atLeast"/>
          <w:tblCellSpacing w:w="0" w:type="dxa"/>
        </w:trPr>
        <w:tc>
          <w:tcPr>
            <w:tcW w:w="801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面试二等奖学金</w:t>
            </w:r>
          </w:p>
        </w:tc>
        <w:tc>
          <w:tcPr>
            <w:tcW w:w="178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总学费的25%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55" w:hRule="atLeast"/>
          <w:tblCellSpacing w:w="0" w:type="dxa"/>
        </w:trPr>
        <w:tc>
          <w:tcPr>
            <w:tcW w:w="801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面试三等奖学金</w:t>
            </w:r>
          </w:p>
        </w:tc>
        <w:tc>
          <w:tcPr>
            <w:tcW w:w="178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955" w:hRule="atLeast"/>
          <w:tblCellSpacing w:w="0" w:type="dxa"/>
        </w:trPr>
        <w:tc>
          <w:tcPr>
            <w:tcW w:w="801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面试四等奖学金</w:t>
            </w:r>
          </w:p>
        </w:tc>
        <w:tc>
          <w:tcPr>
            <w:tcW w:w="178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￥30,000</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jc w:val="left"/>
        <w:rPr>
          <w:b/>
          <w:color w:val="333333"/>
          <w:sz w:val="24"/>
          <w:szCs w:val="24"/>
        </w:rPr>
      </w:pPr>
      <w:r>
        <w:rPr>
          <w:rFonts w:ascii="宋体" w:hAnsi="宋体" w:eastAsia="宋体" w:cs="宋体"/>
          <w:i/>
          <w:color w:val="C3C3C3"/>
          <w:kern w:val="0"/>
          <w:sz w:val="72"/>
          <w:szCs w:val="72"/>
          <w:bdr w:val="none" w:color="auto" w:sz="0" w:space="0"/>
          <w:vertAlign w:val="subscript"/>
          <w:lang w:val="en-US" w:eastAsia="zh-CN" w:bidi="ar"/>
        </w:rPr>
        <w:t>3</w:t>
      </w:r>
      <w:r>
        <w:rPr>
          <w:rFonts w:ascii="宋体" w:hAnsi="宋体" w:eastAsia="宋体" w:cs="宋体"/>
          <w:b/>
          <w:color w:val="333333"/>
          <w:kern w:val="0"/>
          <w:sz w:val="24"/>
          <w:szCs w:val="24"/>
          <w:bdr w:val="none" w:color="auto" w:sz="0" w:space="0"/>
          <w:lang w:val="en-US" w:eastAsia="zh-CN" w:bidi="ar"/>
        </w:rPr>
        <w:t>专项奖学金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专项奖学金用来鼓励考生在专业领域取得的优异成绩，分为CFA奖学金和资质证书奖学金，两者取高获得。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95" w:beforeAutospacing="0" w:after="300" w:afterAutospacing="0" w:line="450" w:lineRule="atLeast"/>
        <w:ind w:left="0" w:right="0"/>
        <w:jc w:val="both"/>
        <w:rPr>
          <w:color w:val="333333"/>
          <w:sz w:val="24"/>
          <w:szCs w:val="24"/>
        </w:rPr>
      </w:pPr>
      <w:r>
        <w:rPr>
          <w:color w:val="333333"/>
          <w:sz w:val="24"/>
          <w:szCs w:val="24"/>
          <w:bdr w:val="none" w:color="auto" w:sz="0" w:space="0"/>
        </w:rPr>
        <w:t>● CFA奖学金</w:t>
      </w:r>
    </w:p>
    <w:tbl>
      <w:tblPr>
        <w:tblW w:w="972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7935"/>
        <w:gridCol w:w="1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113" w:hRule="atLeast"/>
          <w:tblHeader/>
          <w:tblCellSpacing w:w="0" w:type="dxa"/>
        </w:trPr>
        <w:tc>
          <w:tcPr>
            <w:tcW w:w="7935" w:type="dxa"/>
            <w:tcBorders>
              <w:top w:val="nil"/>
              <w:left w:val="nil"/>
              <w:bottom w:val="nil"/>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rPr>
                <w:b/>
                <w:color w:val="FFFFFF"/>
              </w:rPr>
            </w:pPr>
            <w:r>
              <w:rPr>
                <w:rFonts w:ascii="宋体" w:hAnsi="宋体" w:eastAsia="宋体" w:cs="宋体"/>
                <w:b/>
                <w:color w:val="FFFFFF"/>
                <w:kern w:val="0"/>
                <w:sz w:val="24"/>
                <w:szCs w:val="24"/>
                <w:bdr w:val="none" w:color="auto" w:sz="0" w:space="0"/>
                <w:lang w:val="en-US" w:eastAsia="zh-CN" w:bidi="ar"/>
              </w:rPr>
              <w:t>奖学金等级</w:t>
            </w:r>
          </w:p>
        </w:tc>
        <w:tc>
          <w:tcPr>
            <w:tcW w:w="1785" w:type="dxa"/>
            <w:tcBorders>
              <w:top w:val="nil"/>
              <w:left w:val="nil"/>
              <w:bottom w:val="nil"/>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rPr>
                <w:b/>
                <w:color w:val="FFFFFF"/>
              </w:rPr>
            </w:pPr>
            <w:r>
              <w:rPr>
                <w:rFonts w:ascii="宋体" w:hAnsi="宋体" w:eastAsia="宋体" w:cs="宋体"/>
                <w:b/>
                <w:color w:val="FFFFFF"/>
                <w:kern w:val="0"/>
                <w:sz w:val="24"/>
                <w:szCs w:val="24"/>
                <w:bdr w:val="none" w:color="auto" w:sz="0" w:space="0"/>
                <w:lang w:val="en-US" w:eastAsia="zh-CN" w:bidi="ar"/>
              </w:rPr>
              <w:t>额度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135" w:hRule="atLeast"/>
          <w:tblCellSpacing w:w="0" w:type="dxa"/>
        </w:trPr>
        <w:tc>
          <w:tcPr>
            <w:tcW w:w="793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CFA三级通过/持证人</w:t>
            </w:r>
          </w:p>
        </w:tc>
        <w:tc>
          <w:tcPr>
            <w:tcW w:w="178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135" w:hRule="atLeast"/>
          <w:tblCellSpacing w:w="0" w:type="dxa"/>
        </w:trPr>
        <w:tc>
          <w:tcPr>
            <w:tcW w:w="793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CFA二级通过</w:t>
            </w:r>
          </w:p>
        </w:tc>
        <w:tc>
          <w:tcPr>
            <w:tcW w:w="178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￥30,000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35" w:hRule="atLeast"/>
          <w:tblCellSpacing w:w="0" w:type="dxa"/>
        </w:trPr>
        <w:tc>
          <w:tcPr>
            <w:tcW w:w="793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CFA一级通过</w:t>
            </w:r>
          </w:p>
        </w:tc>
        <w:tc>
          <w:tcPr>
            <w:tcW w:w="178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￥10,000</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50" w:lineRule="atLeast"/>
        <w:ind w:left="0" w:right="0"/>
        <w:jc w:val="both"/>
        <w:rPr>
          <w:color w:val="333333"/>
          <w:sz w:val="24"/>
          <w:szCs w:val="24"/>
        </w:rPr>
      </w:pPr>
      <w:r>
        <w:rPr>
          <w:color w:val="333333"/>
          <w:sz w:val="24"/>
          <w:szCs w:val="24"/>
          <w:bdr w:val="none" w:color="auto" w:sz="0" w:space="0"/>
        </w:rPr>
        <w:t>● 资质证书奖学金</w:t>
      </w:r>
    </w:p>
    <w:tbl>
      <w:tblPr>
        <w:tblW w:w="942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7635"/>
        <w:gridCol w:w="1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002" w:hRule="atLeast"/>
          <w:tblHeader/>
          <w:tblCellSpacing w:w="0" w:type="dxa"/>
        </w:trPr>
        <w:tc>
          <w:tcPr>
            <w:tcW w:w="7635" w:type="dxa"/>
            <w:tcBorders>
              <w:top w:val="nil"/>
              <w:left w:val="nil"/>
              <w:bottom w:val="nil"/>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rPr>
                <w:b/>
                <w:color w:val="FFFFFF"/>
              </w:rPr>
            </w:pPr>
            <w:r>
              <w:rPr>
                <w:rFonts w:ascii="宋体" w:hAnsi="宋体" w:eastAsia="宋体" w:cs="宋体"/>
                <w:b/>
                <w:color w:val="FFFFFF"/>
                <w:kern w:val="0"/>
                <w:sz w:val="24"/>
                <w:szCs w:val="24"/>
                <w:bdr w:val="none" w:color="auto" w:sz="0" w:space="0"/>
                <w:lang w:val="en-US" w:eastAsia="zh-CN" w:bidi="ar"/>
              </w:rPr>
              <w:t>奖学金等级</w:t>
            </w:r>
          </w:p>
        </w:tc>
        <w:tc>
          <w:tcPr>
            <w:tcW w:w="1785" w:type="dxa"/>
            <w:tcBorders>
              <w:top w:val="nil"/>
              <w:left w:val="nil"/>
              <w:bottom w:val="nil"/>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rPr>
                <w:b/>
                <w:color w:val="FFFFFF"/>
              </w:rPr>
            </w:pPr>
            <w:r>
              <w:rPr>
                <w:rFonts w:ascii="宋体" w:hAnsi="宋体" w:eastAsia="宋体" w:cs="宋体"/>
                <w:b/>
                <w:color w:val="FFFFFF"/>
                <w:kern w:val="0"/>
                <w:sz w:val="24"/>
                <w:szCs w:val="24"/>
                <w:bdr w:val="none" w:color="auto" w:sz="0" w:space="0"/>
                <w:lang w:val="en-US" w:eastAsia="zh-CN" w:bidi="ar"/>
              </w:rPr>
              <w:t>额度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433" w:hRule="atLeast"/>
          <w:tblCellSpacing w:w="0" w:type="dxa"/>
        </w:trPr>
        <w:tc>
          <w:tcPr>
            <w:tcW w:w="763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CICPA执业会员/非执业会员/全科通过；ACCA资深会员/会员/全科通过；</w:t>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t>CIMA资深会员/会员/战略级通过；正式精算师FSA</w:t>
            </w:r>
          </w:p>
        </w:tc>
        <w:tc>
          <w:tcPr>
            <w:tcW w:w="178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22" w:hRule="atLeast"/>
          <w:tblCellSpacing w:w="0" w:type="dxa"/>
        </w:trPr>
        <w:tc>
          <w:tcPr>
            <w:tcW w:w="763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FRM持证人；准精算师（ASA）；法律职业资格证书A类/执业</w:t>
            </w:r>
          </w:p>
        </w:tc>
        <w:tc>
          <w:tcPr>
            <w:tcW w:w="1785" w:type="dxa"/>
            <w:tcBorders>
              <w:top w:val="nil"/>
              <w:left w:val="nil"/>
              <w:bottom w:val="dashed" w:color="CCCCCC" w:sz="6" w:space="0"/>
              <w:right w:val="nil"/>
            </w:tcBorders>
            <w:shd w:val="clear" w:color="auto" w:fill="F8F8F8"/>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￥30,000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433" w:hRule="atLeast"/>
          <w:tblCellSpacing w:w="0" w:type="dxa"/>
        </w:trPr>
        <w:tc>
          <w:tcPr>
            <w:tcW w:w="763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CICPA部分科目通过；FRM一级通过/二级通过；ACCA部分科目通过；</w:t>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t>经济师（中级及以上）；会计师（高级及以上）</w:t>
            </w:r>
          </w:p>
        </w:tc>
        <w:tc>
          <w:tcPr>
            <w:tcW w:w="1785" w:type="dxa"/>
            <w:tcBorders>
              <w:top w:val="nil"/>
              <w:left w:val="nil"/>
              <w:bottom w:val="dashed" w:color="CCCCCC" w:sz="6" w:space="0"/>
              <w:right w:val="nil"/>
            </w:tcBorders>
            <w:shd w:val="clear"/>
            <w:tcMar>
              <w:top w:w="225" w:type="dxa"/>
              <w:left w:w="600" w:type="dxa"/>
              <w:bottom w:w="225" w:type="dxa"/>
              <w:right w:w="225" w:type="dxa"/>
            </w:tcMar>
            <w:vAlign w:val="center"/>
          </w:tcPr>
          <w:p>
            <w:pPr>
              <w:keepNext w:val="0"/>
              <w:keepLines w:val="0"/>
              <w:widowControl/>
              <w:suppressLineNumbers w:val="0"/>
              <w:spacing w:before="0" w:beforeAutospacing="0" w:after="0" w:afterAutospacing="0" w:line="24" w:lineRule="atLeast"/>
              <w:ind w:left="0" w:right="0"/>
              <w:jc w:val="left"/>
            </w:pPr>
            <w:r>
              <w:rPr>
                <w:rFonts w:ascii="宋体" w:hAnsi="宋体" w:eastAsia="宋体" w:cs="宋体"/>
                <w:kern w:val="0"/>
                <w:sz w:val="24"/>
                <w:szCs w:val="24"/>
                <w:bdr w:val="none" w:color="auto" w:sz="0" w:space="0"/>
                <w:lang w:val="en-US" w:eastAsia="zh-CN" w:bidi="ar"/>
              </w:rPr>
              <w:t>￥10,000</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jc w:val="left"/>
        <w:rPr>
          <w:b/>
          <w:color w:val="333333"/>
          <w:sz w:val="24"/>
          <w:szCs w:val="24"/>
        </w:rPr>
      </w:pPr>
      <w:r>
        <w:rPr>
          <w:rFonts w:ascii="宋体" w:hAnsi="宋体" w:eastAsia="宋体" w:cs="宋体"/>
          <w:i/>
          <w:color w:val="C3C3C3"/>
          <w:kern w:val="0"/>
          <w:sz w:val="72"/>
          <w:szCs w:val="72"/>
          <w:bdr w:val="none" w:color="auto" w:sz="0" w:space="0"/>
          <w:vertAlign w:val="subscript"/>
          <w:lang w:val="en-US" w:eastAsia="zh-CN" w:bidi="ar"/>
        </w:rPr>
        <w:t>4</w:t>
      </w:r>
      <w:r>
        <w:rPr>
          <w:rFonts w:ascii="宋体" w:hAnsi="宋体" w:eastAsia="宋体" w:cs="宋体"/>
          <w:b/>
          <w:color w:val="333333"/>
          <w:kern w:val="0"/>
          <w:sz w:val="24"/>
          <w:szCs w:val="24"/>
          <w:bdr w:val="none" w:color="auto" w:sz="0" w:space="0"/>
          <w:lang w:val="en-US" w:eastAsia="zh-CN" w:bidi="ar"/>
        </w:rPr>
        <w:t>GMAT奖学金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评选依据：GMAT成绩高于700分（含）且在提交申请时，GMAT成绩仍在有效期内，奖学金额度：￥50,000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150" w:afterAutospacing="0" w:line="450" w:lineRule="atLeast"/>
        <w:ind w:left="0" w:right="0"/>
        <w:jc w:val="both"/>
        <w:rPr>
          <w:b/>
          <w:color w:val="333333"/>
          <w:sz w:val="24"/>
          <w:szCs w:val="24"/>
        </w:rPr>
      </w:pPr>
      <w:r>
        <w:rPr>
          <w:b/>
          <w:color w:val="E47734"/>
          <w:sz w:val="24"/>
          <w:szCs w:val="24"/>
          <w:bdr w:val="none" w:color="auto" w:sz="0" w:space="0"/>
        </w:rPr>
        <w:t>●</w:t>
      </w:r>
      <w:r>
        <w:rPr>
          <w:b/>
          <w:color w:val="333333"/>
          <w:sz w:val="24"/>
          <w:szCs w:val="24"/>
          <w:bdr w:val="none" w:color="auto" w:sz="0" w:space="0"/>
        </w:rPr>
        <w:t> 笔试奖学金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b/>
          <w:color w:val="333333"/>
          <w:sz w:val="24"/>
          <w:szCs w:val="24"/>
        </w:rPr>
      </w:pPr>
      <w:r>
        <w:rPr>
          <w:rFonts w:ascii="宋体" w:hAnsi="宋体" w:eastAsia="宋体" w:cs="宋体"/>
          <w:b/>
          <w:color w:val="333333"/>
          <w:kern w:val="0"/>
          <w:sz w:val="24"/>
          <w:szCs w:val="24"/>
          <w:bdr w:val="none" w:color="auto" w:sz="0" w:space="0"/>
          <w:lang w:val="en-US" w:eastAsia="zh-CN" w:bidi="ar"/>
        </w:rPr>
        <w:t>联考奖学金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评选依据：全国联考成绩总分高于240分（含）</w:t>
      </w:r>
      <w:r>
        <w:rPr>
          <w:color w:val="333333"/>
          <w:sz w:val="24"/>
          <w:szCs w:val="24"/>
          <w:bdr w:val="none" w:color="auto" w:sz="0" w:space="0"/>
        </w:rPr>
        <w:br w:type="textWrapping"/>
      </w:r>
      <w:r>
        <w:rPr>
          <w:color w:val="333333"/>
          <w:sz w:val="24"/>
          <w:szCs w:val="24"/>
          <w:bdr w:val="none" w:color="auto" w:sz="0" w:space="0"/>
        </w:rPr>
        <w:t>奖学金额度：￥50,000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line="630" w:lineRule="atLeast"/>
        <w:ind w:left="0" w:right="0"/>
        <w:jc w:val="both"/>
        <w:rPr>
          <w:b/>
          <w:color w:val="333333"/>
          <w:sz w:val="24"/>
          <w:szCs w:val="24"/>
        </w:rPr>
      </w:pPr>
      <w:r>
        <w:rPr>
          <w:b/>
          <w:color w:val="333333"/>
          <w:sz w:val="24"/>
          <w:szCs w:val="24"/>
          <w:bdr w:val="none" w:color="auto" w:sz="0" w:space="0"/>
        </w:rPr>
        <w:t>在校生奖学金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50" w:lineRule="atLeast"/>
        <w:ind w:left="0" w:right="0"/>
        <w:jc w:val="both"/>
        <w:rPr>
          <w:color w:val="333333"/>
          <w:sz w:val="24"/>
          <w:szCs w:val="24"/>
        </w:rPr>
      </w:pPr>
      <w:r>
        <w:rPr>
          <w:color w:val="333333"/>
          <w:sz w:val="24"/>
          <w:szCs w:val="24"/>
          <w:bdr w:val="none" w:color="auto" w:sz="0" w:space="0"/>
        </w:rPr>
        <w:t>学院特设丰富的在校生奖学金用来鼓励学生在校期间的勤奋学习和积极奉献等。无论是奖学金设置还是资源配给上，学院都倾尽全力助力学生全面发展！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50" w:lineRule="atLeast"/>
        <w:ind w:left="0" w:right="0"/>
        <w:jc w:val="both"/>
        <w:rPr>
          <w:color w:val="333333"/>
          <w:sz w:val="24"/>
          <w:szCs w:val="24"/>
        </w:rPr>
      </w:pPr>
      <w:r>
        <w:rPr>
          <w:color w:val="333333"/>
          <w:sz w:val="24"/>
          <w:szCs w:val="24"/>
          <w:bdr w:val="none" w:color="auto" w:sz="0" w:space="0"/>
        </w:rPr>
        <w:t>主要奖学金种类有学业奖学金、特殊贡献奖学金、国际合作学位项目奖学金、双城奖学金等，奖学金额度可高达总学费的50%。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0" w:afterAutospacing="0" w:line="450" w:lineRule="atLeast"/>
        <w:ind w:left="0" w:right="0"/>
        <w:jc w:val="both"/>
        <w:rPr>
          <w:color w:val="888888"/>
          <w:sz w:val="21"/>
          <w:szCs w:val="21"/>
        </w:rPr>
      </w:pPr>
      <w:r>
        <w:rPr>
          <w:color w:val="888888"/>
          <w:sz w:val="21"/>
          <w:szCs w:val="21"/>
          <w:bdr w:val="none" w:color="auto" w:sz="0" w:space="0"/>
        </w:rPr>
        <w:t>*所有新生奖学金仅适用于2021年正式入学的FMBA PT+ 新生，奖学金以学费总额为上限，发放细则以奖学金通知书为准；</w:t>
      </w:r>
      <w:r>
        <w:rPr>
          <w:color w:val="888888"/>
          <w:sz w:val="21"/>
          <w:szCs w:val="21"/>
          <w:bdr w:val="none" w:color="auto" w:sz="0" w:space="0"/>
        </w:rPr>
        <w:br w:type="textWrapping"/>
      </w:r>
      <w:r>
        <w:rPr>
          <w:color w:val="888888"/>
          <w:sz w:val="21"/>
          <w:szCs w:val="21"/>
          <w:bdr w:val="none" w:color="auto" w:sz="0" w:space="0"/>
        </w:rPr>
        <w:t>*考生需要在网申系统中提交相关证明材料来获取相关奖学金。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10" w:lineRule="atLeast"/>
        <w:ind w:left="0" w:right="0"/>
        <w:rPr>
          <w:b w:val="0"/>
        </w:rPr>
      </w:pPr>
      <w:r>
        <w:rPr>
          <w:b w:val="0"/>
          <w:i/>
          <w:bdr w:val="none" w:color="auto" w:sz="0" w:space="0"/>
        </w:rPr>
        <w:drawing>
          <wp:inline distT="0" distB="0" distL="114300" distR="114300">
            <wp:extent cx="228600" cy="238125"/>
            <wp:effectExtent l="0" t="0" r="0" b="9525"/>
            <wp:docPr id="15"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IMG_265"/>
                    <pic:cNvPicPr>
                      <a:picLocks noChangeAspect="1"/>
                    </pic:cNvPicPr>
                  </pic:nvPicPr>
                  <pic:blipFill>
                    <a:blip r:embed="rId20"/>
                    <a:stretch>
                      <a:fillRect/>
                    </a:stretch>
                  </pic:blipFill>
                  <pic:spPr>
                    <a:xfrm>
                      <a:off x="0" y="0"/>
                      <a:ext cx="228600" cy="238125"/>
                    </a:xfrm>
                    <a:prstGeom prst="rect">
                      <a:avLst/>
                    </a:prstGeom>
                    <a:noFill/>
                    <a:ln w="9525">
                      <a:noFill/>
                    </a:ln>
                  </pic:spPr>
                </pic:pic>
              </a:graphicData>
            </a:graphic>
          </wp:inline>
        </w:drawing>
      </w:r>
      <w:r>
        <w:rPr>
          <w:b w:val="0"/>
          <w:bdr w:val="none" w:color="auto" w:sz="0" w:space="0"/>
        </w:rPr>
        <w:t> </w:t>
      </w:r>
      <w:r>
        <w:rPr>
          <w:b/>
          <w:color w:val="E57734"/>
          <w:sz w:val="27"/>
          <w:szCs w:val="27"/>
          <w:bdr w:val="none" w:color="auto" w:sz="0" w:space="0"/>
        </w:rPr>
        <w:t>助学贷款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jc w:val="both"/>
        <w:rPr>
          <w:color w:val="333333"/>
          <w:sz w:val="24"/>
          <w:szCs w:val="24"/>
        </w:rPr>
      </w:pPr>
      <w:r>
        <w:rPr>
          <w:color w:val="333333"/>
          <w:sz w:val="24"/>
          <w:szCs w:val="24"/>
          <w:bdr w:val="none" w:color="auto" w:sz="0" w:space="0"/>
        </w:rPr>
        <w:t>复旦大学泛海国际金融学院与中国工商银行上海分行签订战略合作协议，工商银行为FMBA学员定制的学逸贷产品隆重推出。年化手续费低至2.0%。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78" w:beforeAutospacing="0" w:after="376" w:afterAutospacing="0" w:line="450" w:lineRule="atLeast"/>
        <w:ind w:left="0" w:right="0"/>
        <w:jc w:val="both"/>
        <w:rPr>
          <w:color w:val="888888"/>
          <w:sz w:val="21"/>
          <w:szCs w:val="21"/>
        </w:rPr>
      </w:pPr>
      <w:r>
        <w:rPr>
          <w:color w:val="888888"/>
          <w:sz w:val="21"/>
          <w:szCs w:val="21"/>
          <w:bdr w:val="none" w:color="auto" w:sz="0" w:space="0"/>
        </w:rPr>
        <w:t>*年化手续费率以当年中国工商银行公布的为准。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450" w:lineRule="atLeast"/>
        <w:ind w:left="0" w:right="0" w:firstLine="0"/>
        <w:jc w:val="both"/>
        <w:rPr>
          <w:rFonts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rPr>
        <w:t>贷款业务咨询：</w:t>
      </w:r>
      <w:r>
        <w:rPr>
          <w:rFonts w:hint="eastAsia" w:ascii="微软雅黑" w:hAnsi="微软雅黑" w:eastAsia="微软雅黑" w:cs="微软雅黑"/>
          <w:i w:val="0"/>
          <w:caps w:val="0"/>
          <w:color w:val="333333"/>
          <w:spacing w:val="0"/>
          <w:sz w:val="24"/>
          <w:szCs w:val="24"/>
          <w:bdr w:val="none" w:color="auto" w:sz="0" w:space="0"/>
        </w:rPr>
        <w:br w:type="textWrapping"/>
      </w:r>
      <w:r>
        <w:rPr>
          <w:rFonts w:hint="eastAsia" w:ascii="微软雅黑" w:hAnsi="微软雅黑" w:eastAsia="微软雅黑" w:cs="微软雅黑"/>
          <w:i w:val="0"/>
          <w:caps w:val="0"/>
          <w:color w:val="333333"/>
          <w:spacing w:val="0"/>
          <w:sz w:val="24"/>
          <w:szCs w:val="24"/>
          <w:bdr w:val="none" w:color="auto" w:sz="0" w:space="0"/>
        </w:rPr>
        <w:t>项目负责人：孙寿强</w:t>
      </w:r>
      <w:r>
        <w:rPr>
          <w:rFonts w:hint="eastAsia" w:ascii="微软雅黑" w:hAnsi="微软雅黑" w:eastAsia="微软雅黑" w:cs="微软雅黑"/>
          <w:i w:val="0"/>
          <w:caps w:val="0"/>
          <w:color w:val="333333"/>
          <w:spacing w:val="0"/>
          <w:sz w:val="24"/>
          <w:szCs w:val="24"/>
          <w:bdr w:val="none" w:color="auto" w:sz="0" w:space="0"/>
        </w:rPr>
        <w:br w:type="textWrapping"/>
      </w:r>
      <w:r>
        <w:rPr>
          <w:rFonts w:hint="eastAsia" w:ascii="微软雅黑" w:hAnsi="微软雅黑" w:eastAsia="微软雅黑" w:cs="微软雅黑"/>
          <w:i w:val="0"/>
          <w:caps w:val="0"/>
          <w:color w:val="333333"/>
          <w:spacing w:val="0"/>
          <w:sz w:val="24"/>
          <w:szCs w:val="24"/>
          <w:bdr w:val="none" w:color="auto" w:sz="0" w:space="0"/>
        </w:rPr>
        <w:t>电话：021 5868-1019；159-0213-1243</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p>
    <w:p>
      <w:pPr>
        <w:tabs>
          <w:tab w:val="left" w:pos="2298"/>
        </w:tabs>
        <w:bidi w:val="0"/>
        <w:jc w:val="left"/>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6E3CD9"/>
    <w:rsid w:val="54F94702"/>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2020-12-04T08:17:54Z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